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sz w:val="28"/>
          <w:szCs w:val="28"/>
        </w:rPr>
      </w:pPr>
      <w:r>
        <w:rPr>
          <w:rFonts w:hint="eastAsia" w:ascii="Times New Roman" w:hAnsi="Times New Roman" w:cs="Times New Roman"/>
          <w:b/>
          <w:sz w:val="28"/>
          <w:szCs w:val="28"/>
        </w:rPr>
        <w:t>《中小学生健康管理</w:t>
      </w:r>
      <w:r>
        <w:rPr>
          <w:rFonts w:hint="eastAsia" w:ascii="Times New Roman" w:hAnsi="Times New Roman" w:cs="Times New Roman"/>
          <w:b/>
          <w:sz w:val="28"/>
          <w:szCs w:val="28"/>
          <w:lang w:val="en-US" w:eastAsia="zh-CN"/>
        </w:rPr>
        <w:t>技术</w:t>
      </w:r>
      <w:r>
        <w:rPr>
          <w:rFonts w:hint="eastAsia" w:ascii="Times New Roman" w:hAnsi="Times New Roman" w:cs="Times New Roman"/>
          <w:b/>
          <w:sz w:val="28"/>
          <w:szCs w:val="28"/>
        </w:rPr>
        <w:t>规范</w:t>
      </w:r>
      <w:r>
        <w:rPr>
          <w:rFonts w:hint="eastAsia" w:ascii="Times New Roman" w:hAnsi="Times New Roman" w:cs="Times New Roman"/>
          <w:b/>
          <w:sz w:val="28"/>
          <w:szCs w:val="28"/>
          <w:lang w:val="en-US" w:eastAsia="zh-CN"/>
        </w:rPr>
        <w:t xml:space="preserve"> </w:t>
      </w:r>
      <w:r>
        <w:rPr>
          <w:rFonts w:hint="eastAsia" w:ascii="Times New Roman" w:hAnsi="Times New Roman" w:cs="Times New Roman"/>
          <w:b/>
          <w:sz w:val="28"/>
          <w:szCs w:val="28"/>
        </w:rPr>
        <w:t>第2部分</w:t>
      </w:r>
      <w:r>
        <w:rPr>
          <w:rFonts w:hint="eastAsia" w:ascii="Times New Roman" w:hAnsi="Times New Roman" w:cs="Times New Roman"/>
          <w:b/>
          <w:sz w:val="28"/>
          <w:szCs w:val="28"/>
          <w:lang w:eastAsia="zh-CN"/>
        </w:rPr>
        <w:t>：</w:t>
      </w:r>
      <w:r>
        <w:rPr>
          <w:rFonts w:hint="eastAsia" w:ascii="Times New Roman" w:hAnsi="Times New Roman" w:cs="Times New Roman"/>
          <w:b/>
          <w:sz w:val="28"/>
          <w:szCs w:val="28"/>
        </w:rPr>
        <w:t>视力</w:t>
      </w:r>
      <w:r>
        <w:rPr>
          <w:rFonts w:hint="eastAsia" w:ascii="Times New Roman" w:hAnsi="Times New Roman" w:cs="Times New Roman"/>
          <w:b/>
          <w:sz w:val="28"/>
          <w:szCs w:val="28"/>
          <w:lang w:val="en-US" w:eastAsia="zh-CN"/>
        </w:rPr>
        <w:t>健康</w:t>
      </w:r>
      <w:r>
        <w:rPr>
          <w:rFonts w:hint="eastAsia" w:ascii="Times New Roman" w:hAnsi="Times New Roman" w:cs="Times New Roman"/>
          <w:b/>
          <w:sz w:val="28"/>
          <w:szCs w:val="28"/>
        </w:rPr>
        <w:t>》</w:t>
      </w:r>
      <w:r>
        <w:rPr>
          <w:rFonts w:ascii="Times New Roman" w:hAnsi="Times New Roman" w:cs="Times New Roman"/>
          <w:b/>
          <w:sz w:val="28"/>
          <w:szCs w:val="28"/>
        </w:rPr>
        <w:br w:type="textWrapping"/>
      </w:r>
      <w:r>
        <w:rPr>
          <w:rFonts w:hint="eastAsia" w:ascii="Times New Roman" w:hAnsi="Times New Roman" w:cs="Times New Roman"/>
          <w:b/>
          <w:sz w:val="28"/>
          <w:szCs w:val="28"/>
        </w:rPr>
        <w:t>编制说明</w:t>
      </w:r>
    </w:p>
    <w:p>
      <w:pPr>
        <w:numPr>
          <w:ilvl w:val="255"/>
          <w:numId w:val="0"/>
        </w:numPr>
        <w:spacing w:line="360" w:lineRule="auto"/>
        <w:ind w:firstLine="482" w:firstLineChars="200"/>
        <w:jc w:val="left"/>
        <w:rPr>
          <w:rFonts w:ascii="Times New Roman" w:hAnsi="Times New Roman" w:cs="Times New Roman"/>
          <w:b/>
          <w:sz w:val="24"/>
          <w:szCs w:val="24"/>
        </w:rPr>
      </w:pPr>
      <w:r>
        <w:rPr>
          <w:rFonts w:hint="eastAsia" w:ascii="Times New Roman" w:hAnsi="Times New Roman" w:cs="Times New Roman"/>
          <w:b/>
          <w:sz w:val="24"/>
          <w:szCs w:val="24"/>
        </w:rPr>
        <w:t>一、目的意义</w:t>
      </w:r>
    </w:p>
    <w:p>
      <w:pPr>
        <w:snapToGrid w:val="0"/>
        <w:spacing w:line="5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屈光不正主要包括近视、远视、散光、屈光参差等，其中近视占90%以上。我国学生近视发生率居高不下，且呈低龄化、高度化发展趋势。随着现代科技的飞速发展，中小学生对电子设备的使用频率增加，书写、阅读、娱乐等活动大量依赖于电子产品，使得该群体视力健康问题日益突出。</w:t>
      </w:r>
      <w:r>
        <w:rPr>
          <w:rFonts w:ascii="Times New Roman" w:hAnsi="Times New Roman" w:cs="Times New Roman"/>
          <w:sz w:val="24"/>
          <w:szCs w:val="24"/>
        </w:rPr>
        <w:t>国家高度重视儿童青少年近视防控工作，</w:t>
      </w:r>
      <w:r>
        <w:rPr>
          <w:rFonts w:hint="eastAsia" w:ascii="Times New Roman" w:hAnsi="Times New Roman" w:cs="Times New Roman"/>
          <w:sz w:val="24"/>
          <w:szCs w:val="24"/>
        </w:rPr>
        <w:t>习总书记</w:t>
      </w:r>
      <w:r>
        <w:rPr>
          <w:rFonts w:ascii="Times New Roman" w:hAnsi="Times New Roman" w:cs="Times New Roman"/>
          <w:sz w:val="24"/>
          <w:szCs w:val="24"/>
        </w:rPr>
        <w:t>对</w:t>
      </w:r>
      <w:r>
        <w:rPr>
          <w:rFonts w:hint="eastAsia" w:ascii="Times New Roman" w:hAnsi="Times New Roman" w:cs="Times New Roman"/>
          <w:sz w:val="24"/>
          <w:szCs w:val="24"/>
        </w:rPr>
        <w:t>近视防控工作</w:t>
      </w:r>
      <w:r>
        <w:rPr>
          <w:rFonts w:ascii="Times New Roman" w:hAnsi="Times New Roman" w:cs="Times New Roman"/>
          <w:sz w:val="24"/>
          <w:szCs w:val="24"/>
        </w:rPr>
        <w:t>多次作出重要指示</w:t>
      </w:r>
      <w:r>
        <w:rPr>
          <w:rFonts w:hint="eastAsia" w:ascii="Times New Roman" w:hAnsi="Times New Roman" w:cs="Times New Roman"/>
          <w:sz w:val="24"/>
          <w:szCs w:val="24"/>
        </w:rPr>
        <w:t>批示</w:t>
      </w:r>
      <w:r>
        <w:rPr>
          <w:rFonts w:ascii="Times New Roman" w:hAnsi="Times New Roman" w:cs="Times New Roman"/>
          <w:sz w:val="24"/>
          <w:szCs w:val="24"/>
        </w:rPr>
        <w:t>。《健康中国</w:t>
      </w:r>
      <w:r>
        <w:rPr>
          <w:rFonts w:hint="eastAsia" w:ascii="Times New Roman" w:hAnsi="Times New Roman" w:cs="Times New Roman"/>
          <w:sz w:val="24"/>
          <w:szCs w:val="24"/>
        </w:rPr>
        <w:t>（</w:t>
      </w:r>
      <w:r>
        <w:rPr>
          <w:rFonts w:ascii="Times New Roman" w:hAnsi="Times New Roman" w:cs="Times New Roman"/>
          <w:sz w:val="24"/>
          <w:szCs w:val="24"/>
        </w:rPr>
        <w:t>2019-2030</w:t>
      </w:r>
      <w:r>
        <w:rPr>
          <w:rFonts w:hint="eastAsia" w:ascii="Times New Roman" w:hAnsi="Times New Roman" w:cs="Times New Roman"/>
          <w:sz w:val="24"/>
          <w:szCs w:val="24"/>
        </w:rPr>
        <w:t>）</w:t>
      </w:r>
      <w:r>
        <w:rPr>
          <w:rFonts w:ascii="Times New Roman" w:hAnsi="Times New Roman" w:cs="Times New Roman"/>
          <w:sz w:val="24"/>
          <w:szCs w:val="24"/>
        </w:rPr>
        <w:t>》行动方案明确指出，至2030年，全国儿童青少年总体近视率力争每年降低0.5个百分点以上，新发近视率明显下降。2018年教育部、国家卫生健康委等发布《综合防控儿童青少年近视实施方案》，提出要广泛开展近视筛查，建立儿童屈光发育档案。2021年6月，国家卫生健康委颁发了《0~6岁儿童眼保健及视力检查服务规范</w:t>
      </w:r>
      <w:r>
        <w:rPr>
          <w:rFonts w:hint="eastAsia" w:ascii="Times New Roman" w:hAnsi="Times New Roman" w:cs="Times New Roman"/>
          <w:sz w:val="24"/>
          <w:szCs w:val="24"/>
        </w:rPr>
        <w:t>（</w:t>
      </w:r>
      <w:r>
        <w:rPr>
          <w:rFonts w:ascii="Times New Roman" w:hAnsi="Times New Roman" w:cs="Times New Roman"/>
          <w:sz w:val="24"/>
          <w:szCs w:val="24"/>
        </w:rPr>
        <w:t>试行</w:t>
      </w:r>
      <w:r>
        <w:rPr>
          <w:rFonts w:hint="eastAsia" w:ascii="Times New Roman" w:hAnsi="Times New Roman" w:cs="Times New Roman"/>
          <w:sz w:val="24"/>
          <w:szCs w:val="24"/>
        </w:rPr>
        <w:t>）</w:t>
      </w:r>
      <w:r>
        <w:rPr>
          <w:rFonts w:ascii="Times New Roman" w:hAnsi="Times New Roman" w:cs="Times New Roman"/>
          <w:sz w:val="24"/>
          <w:szCs w:val="24"/>
        </w:rPr>
        <w:t>》</w:t>
      </w:r>
      <w:r>
        <w:rPr>
          <w:rFonts w:hint="eastAsia" w:ascii="Times New Roman" w:hAnsi="Times New Roman" w:cs="Times New Roman"/>
          <w:sz w:val="24"/>
          <w:szCs w:val="24"/>
        </w:rPr>
        <w:t>。当前中小学生视力健康筛查、档案建立和管理应用尚处于起步阶段，仍然存在诸多问题和困难。要落实这些政策要求，需要积极、广泛的开展中小学生群体视力健康管理。</w:t>
      </w:r>
      <w:r>
        <w:rPr>
          <w:rFonts w:ascii="Times New Roman" w:hAnsi="Times New Roman" w:cs="Times New Roman"/>
          <w:sz w:val="24"/>
          <w:szCs w:val="24"/>
        </w:rPr>
        <w:t>但目前暂无关于中小学生视力健康管理的指南或者专家共识。</w:t>
      </w:r>
    </w:p>
    <w:p>
      <w:pPr>
        <w:snapToGrid w:val="0"/>
        <w:spacing w:line="500" w:lineRule="exact"/>
        <w:ind w:firstLine="480" w:firstLineChars="200"/>
        <w:rPr>
          <w:rFonts w:ascii="Times New Roman" w:hAnsi="Times New Roman" w:cs="Times New Roman"/>
          <w:sz w:val="24"/>
          <w:szCs w:val="24"/>
        </w:rPr>
      </w:pPr>
      <w:r>
        <w:rPr>
          <w:rFonts w:ascii="Times New Roman" w:hAnsi="Times New Roman" w:cs="Times New Roman"/>
          <w:sz w:val="24"/>
          <w:szCs w:val="24"/>
        </w:rPr>
        <w:t>江苏</w:t>
      </w:r>
      <w:r>
        <w:rPr>
          <w:rFonts w:hint="eastAsia" w:ascii="Times New Roman" w:hAnsi="Times New Roman" w:cs="Times New Roman"/>
          <w:sz w:val="24"/>
          <w:szCs w:val="24"/>
        </w:rPr>
        <w:t>省中小学生视力健康问题更加严峻，2023年江苏全省学生总体近视率高达59.2%，全省初中生和高中生的近视率分别为81.3%和89.3%，均高于全国一般水平。为做好近视防控基础工作，江苏省卫生健康委和省教育厅等部门多次联合发文，要求从2019年起各地积极开展江苏省中小学生视力健康档案的建立工作。截至2023年12月底，江苏省已有866万中小学生建立了视力健康档案，建档率由2019年的45.8%上升至2023年的85.7%，取得了积极成效。然而，目前江苏省视力健康档案的建立、管理和后续的服务中还存在诸多的问题，比如部分地区检测项目不完全，个别项目缺失，操作流程不规范、评判不一致、转诊不规范等问题，且档案的服务流程、保管和使用、转诊等还没有统一的规范，不能很好</w:t>
      </w:r>
      <w:r>
        <w:rPr>
          <w:rFonts w:hint="eastAsia" w:ascii="Times New Roman" w:hAnsi="Times New Roman" w:cs="Times New Roman"/>
          <w:sz w:val="24"/>
          <w:szCs w:val="24"/>
          <w:lang w:val="en-US" w:eastAsia="zh-CN"/>
        </w:rPr>
        <w:t>地</w:t>
      </w:r>
      <w:r>
        <w:rPr>
          <w:rFonts w:hint="eastAsia" w:ascii="Times New Roman" w:hAnsi="Times New Roman" w:cs="Times New Roman"/>
          <w:sz w:val="24"/>
          <w:szCs w:val="24"/>
        </w:rPr>
        <w:t>为学生服务。</w:t>
      </w:r>
    </w:p>
    <w:p>
      <w:pPr>
        <w:snapToGrid w:val="0"/>
        <w:spacing w:line="5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中小学生视力健康管理服务规范</w:t>
      </w:r>
      <w:r>
        <w:rPr>
          <w:rFonts w:ascii="Times New Roman" w:hAnsi="Times New Roman" w:cs="Times New Roman"/>
          <w:sz w:val="24"/>
          <w:szCs w:val="24"/>
        </w:rPr>
        <w:t>的制定，可以</w:t>
      </w:r>
      <w:r>
        <w:rPr>
          <w:rFonts w:hint="eastAsia" w:ascii="Times New Roman" w:hAnsi="Times New Roman" w:cs="Times New Roman"/>
          <w:sz w:val="24"/>
          <w:szCs w:val="24"/>
        </w:rPr>
        <w:t>加快建立</w:t>
      </w:r>
      <w:r>
        <w:rPr>
          <w:rFonts w:ascii="Times New Roman" w:hAnsi="Times New Roman" w:cs="Times New Roman"/>
          <w:sz w:val="24"/>
          <w:szCs w:val="24"/>
        </w:rPr>
        <w:t>视力健康</w:t>
      </w:r>
      <w:r>
        <w:rPr>
          <w:rFonts w:hint="eastAsia" w:ascii="Times New Roman" w:hAnsi="Times New Roman" w:cs="Times New Roman"/>
          <w:sz w:val="24"/>
          <w:szCs w:val="24"/>
        </w:rPr>
        <w:t>分级管理制度</w:t>
      </w:r>
      <w:r>
        <w:rPr>
          <w:rFonts w:ascii="Times New Roman" w:hAnsi="Times New Roman" w:cs="Times New Roman"/>
          <w:sz w:val="24"/>
          <w:szCs w:val="24"/>
        </w:rPr>
        <w:t>，也可以</w:t>
      </w:r>
      <w:r>
        <w:rPr>
          <w:rFonts w:hint="eastAsia" w:ascii="Times New Roman" w:hAnsi="Times New Roman" w:cs="Times New Roman"/>
          <w:sz w:val="24"/>
          <w:szCs w:val="24"/>
        </w:rPr>
        <w:t>加强新技术应用，提高筛查效率和效果。</w:t>
      </w:r>
      <w:r>
        <w:rPr>
          <w:rFonts w:ascii="Times New Roman" w:hAnsi="Times New Roman" w:cs="Times New Roman"/>
          <w:sz w:val="24"/>
          <w:szCs w:val="24"/>
        </w:rPr>
        <w:t>同时。通过</w:t>
      </w:r>
      <w:r>
        <w:rPr>
          <w:rFonts w:hint="eastAsia" w:ascii="Times New Roman" w:hAnsi="Times New Roman" w:cs="Times New Roman"/>
          <w:sz w:val="24"/>
          <w:szCs w:val="24"/>
        </w:rPr>
        <w:t>宣教和专业培训，</w:t>
      </w:r>
      <w:r>
        <w:rPr>
          <w:rFonts w:ascii="Times New Roman" w:hAnsi="Times New Roman" w:cs="Times New Roman"/>
          <w:sz w:val="24"/>
          <w:szCs w:val="24"/>
        </w:rPr>
        <w:t>可以</w:t>
      </w:r>
      <w:r>
        <w:rPr>
          <w:rFonts w:hint="eastAsia" w:ascii="Times New Roman" w:hAnsi="Times New Roman" w:cs="Times New Roman"/>
          <w:sz w:val="24"/>
          <w:szCs w:val="24"/>
        </w:rPr>
        <w:t>提高公众认知和依从性，提高复诊率，提高医务人员近视防控水平。</w:t>
      </w:r>
      <w:r>
        <w:rPr>
          <w:rFonts w:ascii="Times New Roman" w:hAnsi="Times New Roman" w:cs="Times New Roman"/>
          <w:sz w:val="24"/>
          <w:szCs w:val="24"/>
        </w:rPr>
        <w:t>此外，该标准的实施有利于形成中小学生视力问题</w:t>
      </w:r>
      <w:r>
        <w:rPr>
          <w:rFonts w:hint="eastAsia" w:ascii="Times New Roman" w:hAnsi="Times New Roman" w:cs="Times New Roman"/>
          <w:sz w:val="24"/>
          <w:szCs w:val="24"/>
        </w:rPr>
        <w:t>预防干预和矫治新技术评估和推广。</w:t>
      </w:r>
    </w:p>
    <w:p>
      <w:pPr>
        <w:snapToGrid w:val="0"/>
        <w:spacing w:line="500" w:lineRule="exact"/>
        <w:ind w:firstLine="482" w:firstLineChars="200"/>
        <w:rPr>
          <w:rFonts w:ascii="Times New Roman" w:hAnsi="Times New Roman" w:cs="Times New Roman"/>
          <w:sz w:val="24"/>
          <w:szCs w:val="24"/>
        </w:rPr>
      </w:pPr>
      <w:r>
        <w:rPr>
          <w:rFonts w:hint="eastAsia" w:ascii="Times New Roman" w:hAnsi="Times New Roman" w:cs="Times New Roman"/>
          <w:b/>
          <w:sz w:val="24"/>
          <w:szCs w:val="24"/>
        </w:rPr>
        <w:t>二、任务来源</w:t>
      </w:r>
    </w:p>
    <w:p>
      <w:pPr>
        <w:snapToGrid w:val="0"/>
        <w:spacing w:line="500" w:lineRule="exact"/>
        <w:ind w:firstLine="480" w:firstLineChars="200"/>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Times New Roman" w:cs="Times New Roman"/>
          <w:sz w:val="24"/>
          <w:szCs w:val="24"/>
        </w:rPr>
        <w:t>023年8月，江苏省市场监督管理局下达《中小学生健康管理服务规范》系列标准的编制任务（《关于下达2023年度江苏省地方标准项目计划的通知》苏市监标〔</w:t>
      </w:r>
      <w:r>
        <w:rPr>
          <w:rFonts w:ascii="Times New Roman" w:hAnsi="Times New Roman" w:cs="Times New Roman"/>
          <w:sz w:val="24"/>
          <w:szCs w:val="24"/>
        </w:rPr>
        <w:t>2023</w:t>
      </w:r>
      <w:r>
        <w:rPr>
          <w:rFonts w:hint="eastAsia" w:ascii="Times New Roman" w:hAnsi="Times New Roman" w:cs="Times New Roman"/>
          <w:sz w:val="24"/>
          <w:szCs w:val="24"/>
        </w:rPr>
        <w:t>〕</w:t>
      </w:r>
      <w:r>
        <w:rPr>
          <w:rFonts w:ascii="Times New Roman" w:hAnsi="Times New Roman" w:cs="Times New Roman"/>
          <w:sz w:val="24"/>
          <w:szCs w:val="24"/>
        </w:rPr>
        <w:t>173</w:t>
      </w:r>
      <w:r>
        <w:rPr>
          <w:rFonts w:hint="eastAsia" w:ascii="Times New Roman" w:hAnsi="Times New Roman" w:cs="Times New Roman"/>
          <w:sz w:val="24"/>
          <w:szCs w:val="24"/>
        </w:rPr>
        <w:t>号）。江苏省疾病预防控制中心、南京医科大学、南京市中小学卫生保健所、东南大学、扬州市疾病预防控制中心、宿迁市疾病预防控制中心等为起草单位</w:t>
      </w:r>
      <w:r>
        <w:rPr>
          <w:rFonts w:ascii="Times New Roman" w:hAnsi="Times New Roman" w:cs="Times New Roman"/>
          <w:sz w:val="24"/>
          <w:szCs w:val="24"/>
        </w:rPr>
        <w:t>。</w:t>
      </w:r>
    </w:p>
    <w:p>
      <w:pPr>
        <w:numPr>
          <w:ilvl w:val="255"/>
          <w:numId w:val="0"/>
        </w:numPr>
        <w:spacing w:line="360" w:lineRule="auto"/>
        <w:ind w:firstLine="482" w:firstLineChars="200"/>
        <w:jc w:val="left"/>
        <w:rPr>
          <w:rFonts w:ascii="Times New Roman" w:hAnsi="Times New Roman" w:cs="Times New Roman"/>
          <w:b/>
          <w:sz w:val="24"/>
          <w:szCs w:val="24"/>
        </w:rPr>
      </w:pPr>
      <w:r>
        <w:rPr>
          <w:rFonts w:hint="eastAsia" w:ascii="Times New Roman" w:hAnsi="Times New Roman" w:cs="Times New Roman"/>
          <w:b/>
          <w:sz w:val="24"/>
          <w:szCs w:val="24"/>
        </w:rPr>
        <w:t>三、编制过程</w:t>
      </w:r>
    </w:p>
    <w:p>
      <w:pPr>
        <w:snapToGrid w:val="0"/>
        <w:spacing w:line="5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2023年9</w:t>
      </w:r>
      <w:r>
        <w:rPr>
          <w:rFonts w:hint="eastAsia" w:ascii="Times New Roman" w:hAnsi="Times New Roman" w:cs="Times New Roman"/>
          <w:sz w:val="24"/>
          <w:szCs w:val="24"/>
          <w:lang w:val="en-US" w:eastAsia="zh-CN"/>
        </w:rPr>
        <w:t>-</w:t>
      </w:r>
      <w:r>
        <w:rPr>
          <w:rFonts w:hint="eastAsia" w:ascii="Times New Roman" w:hAnsi="Times New Roman" w:cs="Times New Roman"/>
          <w:sz w:val="24"/>
          <w:szCs w:val="24"/>
        </w:rPr>
        <w:t>10月，成立了由江苏省疾病预防控制中心、南京医科大学、南京市中小学卫生保健所、东南大学、扬州市疾病预防控制中心、宿迁市疾病预防控制中心等单位组成的起草组，开始了本标准的调研、</w:t>
      </w:r>
      <w:r>
        <w:rPr>
          <w:rFonts w:hint="eastAsia" w:ascii="Calibri" w:hAnsi="Calibri" w:eastAsia="宋体" w:cs="Times New Roman"/>
          <w:sz w:val="24"/>
        </w:rPr>
        <w:t>文献查阅、</w:t>
      </w:r>
      <w:r>
        <w:rPr>
          <w:rFonts w:hint="eastAsia" w:ascii="Times New Roman" w:hAnsi="Times New Roman" w:cs="Times New Roman"/>
          <w:sz w:val="24"/>
          <w:szCs w:val="24"/>
        </w:rPr>
        <w:t>资料收集整理等工作。</w:t>
      </w:r>
    </w:p>
    <w:p>
      <w:pPr>
        <w:snapToGrid w:val="0"/>
        <w:spacing w:line="5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2023年11-12月，确立了标准的大纲及工作思路，并进行了技术细节和方案的研讨。</w:t>
      </w:r>
    </w:p>
    <w:p>
      <w:pPr>
        <w:snapToGrid w:val="0"/>
        <w:spacing w:line="500" w:lineRule="exact"/>
        <w:ind w:firstLine="480" w:firstLineChars="200"/>
        <w:rPr>
          <w:sz w:val="24"/>
        </w:rPr>
      </w:pPr>
      <w:r>
        <w:rPr>
          <w:rFonts w:hint="eastAsia" w:ascii="Times New Roman" w:hAnsi="Times New Roman" w:cs="Times New Roman"/>
          <w:sz w:val="24"/>
          <w:szCs w:val="24"/>
        </w:rPr>
        <w:t>2024年1月，完成了标准的草案稿。并</w:t>
      </w:r>
      <w:r>
        <w:rPr>
          <w:rFonts w:hint="eastAsia" w:ascii="Calibri" w:hAnsi="Calibri" w:eastAsia="宋体" w:cs="Times New Roman"/>
          <w:sz w:val="24"/>
        </w:rPr>
        <w:t>将草案在编制组内多次讨论，</w:t>
      </w:r>
      <w:r>
        <w:rPr>
          <w:rFonts w:hint="eastAsia" w:ascii="Times New Roman" w:hAnsi="Times New Roman" w:cs="Times New Roman"/>
          <w:sz w:val="24"/>
          <w:szCs w:val="24"/>
        </w:rPr>
        <w:t>及时</w:t>
      </w:r>
      <w:r>
        <w:rPr>
          <w:rFonts w:hint="eastAsia" w:ascii="Calibri" w:hAnsi="Calibri" w:eastAsia="宋体" w:cs="Times New Roman"/>
          <w:sz w:val="24"/>
        </w:rPr>
        <w:t>研究解决制定中的问题，几经修改，编制成本</w:t>
      </w:r>
      <w:r>
        <w:rPr>
          <w:rFonts w:hint="eastAsia"/>
          <w:sz w:val="24"/>
        </w:rPr>
        <w:t>标准</w:t>
      </w:r>
      <w:r>
        <w:rPr>
          <w:rFonts w:hint="eastAsia" w:ascii="Calibri" w:hAnsi="Calibri" w:eastAsia="宋体" w:cs="Times New Roman"/>
          <w:sz w:val="24"/>
        </w:rPr>
        <w:t>征求意见稿</w:t>
      </w:r>
      <w:r>
        <w:rPr>
          <w:rFonts w:hint="eastAsia"/>
          <w:sz w:val="24"/>
        </w:rPr>
        <w:t>。</w:t>
      </w:r>
    </w:p>
    <w:p>
      <w:pPr>
        <w:snapToGrid w:val="0"/>
        <w:spacing w:line="5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2024年2-3月，完成了标准的意见征求和修改，共收集到意见</w:t>
      </w:r>
      <w:r>
        <w:rPr>
          <w:rFonts w:hint="eastAsia" w:ascii="Times New Roman" w:hAnsi="Times New Roman" w:cs="Times New Roman"/>
          <w:sz w:val="24"/>
          <w:szCs w:val="24"/>
          <w:lang w:val="en-US" w:eastAsia="zh-CN"/>
        </w:rPr>
        <w:t>64</w:t>
      </w:r>
      <w:r>
        <w:rPr>
          <w:rFonts w:hint="eastAsia" w:ascii="Times New Roman" w:hAnsi="Times New Roman" w:cs="Times New Roman"/>
          <w:sz w:val="24"/>
          <w:szCs w:val="24"/>
        </w:rPr>
        <w:t>条，其中采纳</w:t>
      </w:r>
      <w:r>
        <w:rPr>
          <w:rFonts w:hint="eastAsia" w:ascii="Times New Roman" w:hAnsi="Times New Roman" w:cs="Times New Roman"/>
          <w:sz w:val="24"/>
          <w:szCs w:val="24"/>
          <w:lang w:val="en-US" w:eastAsia="zh-CN"/>
        </w:rPr>
        <w:t>58</w:t>
      </w:r>
      <w:r>
        <w:rPr>
          <w:rFonts w:hint="eastAsia" w:ascii="Times New Roman" w:hAnsi="Times New Roman" w:cs="Times New Roman"/>
          <w:sz w:val="24"/>
          <w:szCs w:val="24"/>
        </w:rPr>
        <w:t>条，部分采纳5条，未采纳1条，形成本标准送审稿</w:t>
      </w:r>
      <w:r>
        <w:rPr>
          <w:rFonts w:hint="eastAsia"/>
          <w:sz w:val="24"/>
        </w:rPr>
        <w:t>。</w:t>
      </w:r>
    </w:p>
    <w:p>
      <w:pPr>
        <w:numPr>
          <w:ilvl w:val="255"/>
          <w:numId w:val="0"/>
        </w:numPr>
        <w:spacing w:line="360" w:lineRule="auto"/>
        <w:ind w:firstLine="482" w:firstLineChars="200"/>
        <w:jc w:val="left"/>
        <w:rPr>
          <w:rFonts w:ascii="Times New Roman" w:hAnsi="Times New Roman" w:cs="Times New Roman"/>
          <w:b/>
          <w:sz w:val="24"/>
          <w:szCs w:val="24"/>
        </w:rPr>
      </w:pPr>
      <w:r>
        <w:rPr>
          <w:rFonts w:hint="eastAsia" w:ascii="Times New Roman" w:hAnsi="Times New Roman" w:cs="Times New Roman"/>
          <w:b/>
          <w:sz w:val="24"/>
          <w:szCs w:val="24"/>
        </w:rPr>
        <w:t>四、标准编制原则及主要内容</w:t>
      </w:r>
    </w:p>
    <w:p>
      <w:pPr>
        <w:snapToGrid w:val="0"/>
        <w:spacing w:line="500" w:lineRule="exact"/>
        <w:ind w:firstLine="480" w:firstLineChars="200"/>
        <w:rPr>
          <w:rFonts w:ascii="Times New Roman" w:hAnsi="Times New Roman" w:cs="Times New Roman"/>
          <w:sz w:val="24"/>
          <w:szCs w:val="24"/>
        </w:rPr>
      </w:pPr>
      <w:r>
        <w:rPr>
          <w:rFonts w:ascii="Times New Roman" w:hAnsi="Times New Roman" w:cs="Times New Roman"/>
          <w:sz w:val="24"/>
          <w:szCs w:val="24"/>
        </w:rPr>
        <w:t>1、标准编制</w:t>
      </w:r>
      <w:r>
        <w:rPr>
          <w:rFonts w:hint="eastAsia" w:ascii="Times New Roman" w:hAnsi="Times New Roman" w:cs="Times New Roman"/>
          <w:sz w:val="24"/>
          <w:szCs w:val="24"/>
        </w:rPr>
        <w:t>原则</w:t>
      </w:r>
    </w:p>
    <w:p>
      <w:pPr>
        <w:snapToGrid w:val="0"/>
        <w:spacing w:line="5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（1）按照国家及省市法律法规、政策文件、国家标准、行业标准、地方标准来编制起草。</w:t>
      </w:r>
    </w:p>
    <w:p>
      <w:pPr>
        <w:snapToGrid w:val="0"/>
        <w:spacing w:line="5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本标准按照 GB/T 1.1—2020《标准化工作导则 第 1 部分：标准化文件的结构和起草规则》的要求进行编写。</w:t>
      </w:r>
    </w:p>
    <w:p>
      <w:pPr>
        <w:snapToGrid w:val="0"/>
        <w:spacing w:line="500" w:lineRule="exact"/>
        <w:ind w:firstLine="480" w:firstLineChars="200"/>
        <w:rPr>
          <w:rFonts w:ascii="Times New Roman" w:hAnsi="Times New Roman" w:cs="Times New Roman"/>
          <w:sz w:val="24"/>
          <w:shd w:val="clear" w:color="auto" w:fill="FFFFFF"/>
        </w:rPr>
      </w:pPr>
      <w:r>
        <w:rPr>
          <w:rFonts w:ascii="Times New Roman" w:hAnsi="Times New Roman" w:cs="Times New Roman"/>
          <w:sz w:val="24"/>
          <w:szCs w:val="24"/>
        </w:rPr>
        <w:t>2、</w:t>
      </w:r>
      <w:r>
        <w:rPr>
          <w:rFonts w:hint="eastAsia" w:ascii="Times New Roman" w:hAnsi="Times New Roman" w:cs="Times New Roman"/>
          <w:sz w:val="24"/>
          <w:szCs w:val="24"/>
        </w:rPr>
        <w:t>主要</w:t>
      </w:r>
      <w:r>
        <w:rPr>
          <w:rFonts w:ascii="Times New Roman" w:hAnsi="Times New Roman" w:cs="Times New Roman"/>
          <w:sz w:val="24"/>
          <w:szCs w:val="24"/>
        </w:rPr>
        <w:t>内容</w:t>
      </w:r>
    </w:p>
    <w:p>
      <w:pPr>
        <w:snapToGrid w:val="0"/>
        <w:spacing w:line="5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本标准规定了中小学生视力健康管理服务对象、健康教育、视力健康风险因素监测评估、视力健康筛查、档案建立管理、综合干预和质量控制等。</w:t>
      </w:r>
    </w:p>
    <w:p>
      <w:pPr>
        <w:snapToGrid w:val="0"/>
        <w:spacing w:line="5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本规范适用于江苏省内参与中小学生视力健康档案建立和提供管理服务的疾病预防控制中心、医疗卫生机构、各级各类中小学校（包括公办和民办的小学、初级中学、高级中学和中等职业学校）</w:t>
      </w:r>
      <w:r>
        <w:rPr>
          <w:rFonts w:hint="eastAsia" w:ascii="Times New Roman" w:hAnsi="Times New Roman" w:cs="Times New Roman"/>
          <w:sz w:val="24"/>
          <w:szCs w:val="24"/>
          <w:lang w:val="en-US" w:eastAsia="zh-CN"/>
        </w:rPr>
        <w:t>或</w:t>
      </w:r>
      <w:r>
        <w:rPr>
          <w:rFonts w:hint="eastAsia" w:ascii="Times New Roman" w:hAnsi="Times New Roman" w:cs="Times New Roman"/>
          <w:sz w:val="24"/>
          <w:szCs w:val="24"/>
        </w:rPr>
        <w:t>中小学卫生保健所</w:t>
      </w:r>
      <w:r>
        <w:rPr>
          <w:rFonts w:ascii="Times New Roman" w:hAnsi="Times New Roman" w:cs="Times New Roman"/>
          <w:sz w:val="24"/>
          <w:szCs w:val="24"/>
        </w:rPr>
        <w:t>。</w:t>
      </w:r>
    </w:p>
    <w:p>
      <w:pPr>
        <w:numPr>
          <w:ilvl w:val="0"/>
          <w:numId w:val="2"/>
        </w:numPr>
        <w:snapToGrid w:val="0"/>
        <w:spacing w:line="500" w:lineRule="exact"/>
        <w:ind w:firstLine="482" w:firstLineChars="200"/>
        <w:jc w:val="left"/>
        <w:rPr>
          <w:b/>
          <w:bCs/>
          <w:sz w:val="24"/>
        </w:rPr>
      </w:pPr>
      <w:r>
        <w:rPr>
          <w:rFonts w:hint="eastAsia"/>
          <w:b/>
          <w:bCs/>
          <w:sz w:val="24"/>
        </w:rPr>
        <w:t>技术指标确定的依据</w:t>
      </w:r>
    </w:p>
    <w:p>
      <w:pPr>
        <w:numPr>
          <w:ilvl w:val="0"/>
          <w:numId w:val="3"/>
        </w:numPr>
        <w:spacing w:line="360" w:lineRule="auto"/>
        <w:ind w:firstLine="480" w:firstLineChars="200"/>
        <w:rPr>
          <w:rFonts w:ascii="Times New Roman" w:hAnsi="Times New Roman" w:cs="Times New Roman"/>
          <w:sz w:val="24"/>
          <w:shd w:val="clear" w:color="auto" w:fill="FFFFFF"/>
        </w:rPr>
      </w:pPr>
      <w:r>
        <w:rPr>
          <w:rFonts w:hint="eastAsia" w:ascii="Times New Roman" w:hAnsi="Times New Roman" w:cs="Times New Roman"/>
          <w:sz w:val="24"/>
          <w:shd w:val="clear" w:color="auto" w:fill="FFFFFF"/>
        </w:rPr>
        <w:t>范围</w:t>
      </w:r>
    </w:p>
    <w:p>
      <w:pPr>
        <w:numPr>
          <w:ilvl w:val="255"/>
          <w:numId w:val="0"/>
        </w:numPr>
        <w:spacing w:line="360" w:lineRule="auto"/>
        <w:ind w:firstLine="480" w:firstLineChars="200"/>
        <w:rPr>
          <w:rFonts w:ascii="Times New Roman" w:hAnsi="Times New Roman" w:cs="Times New Roman"/>
          <w:sz w:val="24"/>
          <w:shd w:val="clear" w:color="auto" w:fill="FFFFFF"/>
        </w:rPr>
      </w:pPr>
      <w:r>
        <w:rPr>
          <w:rFonts w:hint="eastAsia" w:ascii="Times New Roman" w:hAnsi="Times New Roman" w:cs="Times New Roman"/>
          <w:sz w:val="24"/>
          <w:shd w:val="clear" w:color="auto" w:fill="FFFFFF"/>
        </w:rPr>
        <w:t>主要规定了标准的适用范围和主要内容。</w:t>
      </w:r>
    </w:p>
    <w:p>
      <w:pPr>
        <w:spacing w:line="360" w:lineRule="auto"/>
        <w:ind w:firstLine="480" w:firstLineChars="200"/>
        <w:rPr>
          <w:rFonts w:ascii="Times New Roman" w:hAnsi="Times New Roman" w:cs="Times New Roman"/>
          <w:sz w:val="24"/>
          <w:shd w:val="clear" w:color="auto" w:fill="FFFFFF"/>
        </w:rPr>
      </w:pPr>
      <w:r>
        <w:rPr>
          <w:rFonts w:hint="eastAsia" w:ascii="Times New Roman" w:hAnsi="Times New Roman" w:cs="Times New Roman"/>
          <w:sz w:val="24"/>
          <w:shd w:val="clear" w:color="auto" w:fill="FFFFFF"/>
        </w:rPr>
        <w:t>（2）</w:t>
      </w:r>
      <w:r>
        <w:rPr>
          <w:rFonts w:ascii="Times New Roman" w:hAnsi="Times New Roman" w:cs="Times New Roman"/>
          <w:sz w:val="24"/>
          <w:shd w:val="clear" w:color="auto" w:fill="FFFFFF"/>
        </w:rPr>
        <w:t xml:space="preserve">规范性引用文件 </w:t>
      </w:r>
    </w:p>
    <w:p>
      <w:pPr>
        <w:snapToGrid w:val="0"/>
        <w:spacing w:line="500" w:lineRule="exact"/>
        <w:ind w:firstLine="480" w:firstLineChars="200"/>
        <w:rPr>
          <w:rFonts w:ascii="Times New Roman" w:hAnsi="Times New Roman" w:cs="Times New Roman"/>
          <w:sz w:val="24"/>
          <w:szCs w:val="24"/>
        </w:rPr>
      </w:pPr>
      <w:r>
        <w:rPr>
          <w:rFonts w:ascii="Times New Roman" w:hAnsi="Times New Roman" w:cs="Times New Roman"/>
          <w:sz w:val="24"/>
          <w:szCs w:val="24"/>
        </w:rPr>
        <w:t>在正文中共列出</w:t>
      </w:r>
      <w:r>
        <w:rPr>
          <w:rFonts w:hint="eastAsia" w:ascii="Times New Roman" w:hAnsi="Times New Roman" w:cs="Times New Roman"/>
          <w:sz w:val="24"/>
          <w:szCs w:val="24"/>
        </w:rPr>
        <w:t>10</w:t>
      </w:r>
      <w:r>
        <w:rPr>
          <w:rFonts w:ascii="Times New Roman" w:hAnsi="Times New Roman" w:cs="Times New Roman"/>
          <w:sz w:val="24"/>
          <w:szCs w:val="24"/>
        </w:rPr>
        <w:t>个标准。</w:t>
      </w:r>
    </w:p>
    <w:p>
      <w:pPr>
        <w:spacing w:line="360" w:lineRule="auto"/>
        <w:ind w:firstLine="480" w:firstLineChars="200"/>
        <w:rPr>
          <w:rFonts w:ascii="Times New Roman" w:hAnsi="Times New Roman" w:cs="Times New Roman"/>
          <w:sz w:val="24"/>
          <w:shd w:val="clear" w:color="auto" w:fill="FFFFFF"/>
        </w:rPr>
      </w:pPr>
      <w:r>
        <w:rPr>
          <w:rFonts w:hint="eastAsia" w:ascii="Times New Roman" w:hAnsi="Times New Roman" w:cs="Times New Roman"/>
          <w:sz w:val="24"/>
          <w:shd w:val="clear" w:color="auto" w:fill="FFFFFF"/>
        </w:rPr>
        <w:t>（3）</w:t>
      </w:r>
      <w:r>
        <w:rPr>
          <w:rFonts w:ascii="Times New Roman" w:hAnsi="Times New Roman" w:cs="Times New Roman"/>
          <w:sz w:val="24"/>
          <w:shd w:val="clear" w:color="auto" w:fill="FFFFFF"/>
        </w:rPr>
        <w:t>术语和定义</w:t>
      </w:r>
    </w:p>
    <w:p>
      <w:pPr>
        <w:snapToGrid w:val="0"/>
        <w:spacing w:line="500" w:lineRule="exact"/>
        <w:ind w:firstLine="480" w:firstLineChars="200"/>
        <w:rPr>
          <w:rFonts w:ascii="Times New Roman" w:hAnsi="Times New Roman" w:cs="Times New Roman"/>
          <w:sz w:val="24"/>
          <w:szCs w:val="24"/>
        </w:rPr>
      </w:pPr>
      <w:r>
        <w:rPr>
          <w:rFonts w:ascii="Times New Roman" w:hAnsi="Times New Roman" w:cs="Times New Roman"/>
          <w:sz w:val="24"/>
          <w:szCs w:val="24"/>
        </w:rPr>
        <w:t>本标准对</w:t>
      </w:r>
      <w:r>
        <w:rPr>
          <w:rFonts w:hint="eastAsia" w:ascii="Times New Roman" w:hAnsi="Times New Roman" w:cs="Times New Roman"/>
          <w:sz w:val="24"/>
          <w:szCs w:val="24"/>
        </w:rPr>
        <w:t>4</w:t>
      </w:r>
      <w:r>
        <w:rPr>
          <w:rFonts w:ascii="Times New Roman" w:hAnsi="Times New Roman" w:cs="Times New Roman"/>
          <w:sz w:val="24"/>
          <w:szCs w:val="24"/>
        </w:rPr>
        <w:t>个术语给出了定义。根据GB/T 1.1-2020对术语和定义的起草和表述要求，给出了术语的英文对应词。</w:t>
      </w:r>
    </w:p>
    <w:p>
      <w:pPr>
        <w:spacing w:line="360" w:lineRule="auto"/>
        <w:ind w:firstLine="480" w:firstLineChars="200"/>
        <w:rPr>
          <w:rFonts w:ascii="Times New Roman" w:hAnsi="Times New Roman" w:cs="Times New Roman"/>
          <w:sz w:val="24"/>
          <w:shd w:val="clear" w:color="auto" w:fill="FFFFFF"/>
        </w:rPr>
      </w:pPr>
      <w:r>
        <w:rPr>
          <w:rFonts w:hint="eastAsia" w:ascii="Times New Roman" w:hAnsi="Times New Roman" w:cs="Times New Roman"/>
          <w:sz w:val="24"/>
          <w:shd w:val="clear" w:color="auto" w:fill="FFFFFF"/>
        </w:rPr>
        <w:t>（4）</w:t>
      </w:r>
      <w:r>
        <w:rPr>
          <w:rFonts w:ascii="Times New Roman" w:hAnsi="Times New Roman" w:cs="Times New Roman"/>
          <w:sz w:val="24"/>
          <w:shd w:val="clear" w:color="auto" w:fill="FFFFFF"/>
        </w:rPr>
        <w:t>服务对象</w:t>
      </w:r>
    </w:p>
    <w:p>
      <w:pPr>
        <w:snapToGrid w:val="0"/>
        <w:spacing w:line="5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该章规定了视力健康管理的服务对象是在校的全体中小学生（包括公办和民办的小学、初级中学、高级中学和中等职业学校）。</w:t>
      </w:r>
    </w:p>
    <w:p>
      <w:pPr>
        <w:spacing w:line="360" w:lineRule="auto"/>
        <w:ind w:firstLine="480" w:firstLineChars="200"/>
        <w:rPr>
          <w:rFonts w:ascii="Times New Roman" w:hAnsi="Times New Roman" w:cs="Times New Roman"/>
          <w:sz w:val="24"/>
          <w:shd w:val="clear" w:color="auto" w:fill="FFFFFF"/>
        </w:rPr>
      </w:pPr>
      <w:r>
        <w:rPr>
          <w:rFonts w:hint="eastAsia" w:ascii="Times New Roman" w:hAnsi="Times New Roman" w:cs="Times New Roman"/>
          <w:sz w:val="24"/>
          <w:shd w:val="clear" w:color="auto" w:fill="FFFFFF"/>
        </w:rPr>
        <w:t>（5）健康教育</w:t>
      </w:r>
    </w:p>
    <w:p>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该章是视力健康管理的关键服务内容，该部分对于教育的人群、地点、方法、内容提出了建议，帮助江苏省更加有效地开展健康教育工作。</w:t>
      </w:r>
    </w:p>
    <w:p>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（6）视力健康风险因素监测评估</w:t>
      </w:r>
    </w:p>
    <w:p>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该章对视力健康风险因素监测时间和内容、监测方法、检测后信息管理、职责分工提出了建议。</w:t>
      </w:r>
    </w:p>
    <w:p>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（7）视力健康筛查</w:t>
      </w:r>
    </w:p>
    <w:p>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该章主要对视力健康筛查的时间和内容、筛查机构、筛查方法、筛查后信息管理、职责分工提出了建议。</w:t>
      </w:r>
    </w:p>
    <w:p>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（8）健康档案建立及管理</w:t>
      </w:r>
    </w:p>
    <w:p>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该章是本标准的核心内容，其中8.1档案</w:t>
      </w:r>
      <w:r>
        <w:rPr>
          <w:rFonts w:hint="eastAsia" w:ascii="Times New Roman" w:hAnsi="Times New Roman" w:cs="Times New Roman"/>
          <w:sz w:val="24"/>
          <w:szCs w:val="24"/>
          <w:lang w:val="en-US" w:eastAsia="zh-CN"/>
        </w:rPr>
        <w:t>建立</w:t>
      </w:r>
      <w:r>
        <w:rPr>
          <w:rFonts w:hint="eastAsia" w:ascii="Times New Roman" w:hAnsi="Times New Roman" w:cs="Times New Roman"/>
          <w:sz w:val="24"/>
          <w:szCs w:val="24"/>
        </w:rPr>
        <w:t>，对视力健康档案进行三个层次分类，包含了个人基本情况、眼部健康数据和医疗卫生服务情况，并对于不同类别也提出了建议。8.2档案管理，主要对建档工作的支持条件、更新时间、组织实施、职责分工和档案信息建设的途径提出了建议。</w:t>
      </w:r>
    </w:p>
    <w:p>
      <w:pPr>
        <w:spacing w:line="360" w:lineRule="auto"/>
        <w:ind w:firstLine="480" w:firstLineChars="200"/>
        <w:rPr>
          <w:rFonts w:ascii="Times New Roman" w:hAnsi="Times New Roman" w:cs="Times New Roman"/>
          <w:sz w:val="24"/>
          <w:shd w:val="clear" w:color="auto" w:fill="FFFFFF"/>
        </w:rPr>
      </w:pPr>
      <w:r>
        <w:rPr>
          <w:rFonts w:hint="eastAsia" w:ascii="Times New Roman" w:hAnsi="Times New Roman" w:cs="Times New Roman"/>
          <w:sz w:val="24"/>
          <w:shd w:val="clear" w:color="auto" w:fill="FFFFFF"/>
        </w:rPr>
        <w:t>（9）综合干预</w:t>
      </w:r>
    </w:p>
    <w:p>
      <w:pPr>
        <w:snapToGrid w:val="0"/>
        <w:spacing w:line="5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该章主要对干预方案的制作、实施以及职责分工提出建议，并结合视力筛查和档案建立，对学生开展分级管理、科学干预。</w:t>
      </w:r>
    </w:p>
    <w:p>
      <w:pPr>
        <w:spacing w:line="360" w:lineRule="auto"/>
        <w:ind w:firstLine="480" w:firstLineChars="200"/>
        <w:rPr>
          <w:rFonts w:ascii="Times New Roman" w:hAnsi="Times New Roman" w:cs="Times New Roman"/>
          <w:sz w:val="24"/>
          <w:shd w:val="clear" w:color="auto" w:fill="FFFFFF"/>
        </w:rPr>
      </w:pPr>
      <w:r>
        <w:rPr>
          <w:rFonts w:hint="eastAsia" w:ascii="Times New Roman" w:hAnsi="Times New Roman" w:cs="Times New Roman"/>
          <w:sz w:val="24"/>
          <w:shd w:val="clear" w:color="auto" w:fill="FFFFFF"/>
        </w:rPr>
        <w:t>（10）质量控制</w:t>
      </w:r>
    </w:p>
    <w:p>
      <w:pPr>
        <w:numPr>
          <w:ilvl w:val="255"/>
          <w:numId w:val="0"/>
        </w:numPr>
        <w:snapToGrid w:val="0"/>
        <w:spacing w:line="500" w:lineRule="exact"/>
        <w:ind w:firstLine="480" w:firstLineChars="200"/>
        <w:jc w:val="left"/>
        <w:rPr>
          <w:rFonts w:ascii="Times New Roman" w:hAnsi="Times New Roman" w:cs="Times New Roman"/>
          <w:sz w:val="24"/>
          <w:shd w:val="clear" w:color="auto" w:fill="FFFFFF"/>
        </w:rPr>
      </w:pPr>
      <w:r>
        <w:rPr>
          <w:rFonts w:hint="eastAsia" w:ascii="Times New Roman" w:hAnsi="Times New Roman" w:cs="Times New Roman"/>
          <w:sz w:val="24"/>
          <w:szCs w:val="24"/>
        </w:rPr>
        <w:t>该章内容包含了质控人员和制定质量控制制度两个部分。10.1对质控人员的选择条件、培养管理和工作提高提出了建议。10.2该部分主要对制度的制定、实施、监督、反馈和要求提出了建议</w:t>
      </w:r>
      <w:r>
        <w:rPr>
          <w:rFonts w:ascii="Times New Roman" w:hAnsi="Times New Roman" w:cs="Times New Roman"/>
          <w:sz w:val="24"/>
          <w:shd w:val="clear" w:color="auto" w:fill="FFFFFF"/>
        </w:rPr>
        <w:t>。</w:t>
      </w:r>
    </w:p>
    <w:p>
      <w:pPr>
        <w:spacing w:line="360" w:lineRule="auto"/>
        <w:ind w:firstLine="480" w:firstLineChars="200"/>
        <w:rPr>
          <w:rFonts w:hint="default" w:ascii="Times New Roman" w:hAnsi="Times New Roman" w:cs="Times New Roman" w:eastAsiaTheme="minorEastAsia"/>
          <w:sz w:val="24"/>
          <w:shd w:val="clear" w:color="auto" w:fill="FFFFFF"/>
          <w:lang w:val="en-US" w:eastAsia="zh-CN"/>
        </w:rPr>
      </w:pPr>
      <w:r>
        <w:rPr>
          <w:rFonts w:hint="eastAsia" w:ascii="Times New Roman" w:hAnsi="Times New Roman" w:cs="Times New Roman"/>
          <w:sz w:val="24"/>
          <w:shd w:val="clear" w:color="auto" w:fill="FFFFFF"/>
        </w:rPr>
        <w:t>（1</w:t>
      </w:r>
      <w:r>
        <w:rPr>
          <w:rFonts w:hint="eastAsia" w:ascii="Times New Roman" w:hAnsi="Times New Roman" w:cs="Times New Roman"/>
          <w:sz w:val="24"/>
          <w:shd w:val="clear" w:color="auto" w:fill="FFFFFF"/>
          <w:lang w:val="en-US" w:eastAsia="zh-CN"/>
        </w:rPr>
        <w:t>1</w:t>
      </w:r>
      <w:r>
        <w:rPr>
          <w:rFonts w:hint="eastAsia" w:ascii="Times New Roman" w:hAnsi="Times New Roman" w:cs="Times New Roman"/>
          <w:sz w:val="24"/>
          <w:shd w:val="clear" w:color="auto" w:fill="FFFFFF"/>
        </w:rPr>
        <w:t>）</w:t>
      </w:r>
      <w:r>
        <w:rPr>
          <w:rFonts w:hint="eastAsia" w:ascii="Times New Roman" w:hAnsi="Times New Roman" w:cs="Times New Roman"/>
          <w:sz w:val="24"/>
          <w:shd w:val="clear" w:color="auto" w:fill="FFFFFF"/>
          <w:lang w:val="en-US" w:eastAsia="zh-CN"/>
        </w:rPr>
        <w:t>保密性原则</w:t>
      </w:r>
    </w:p>
    <w:p>
      <w:pPr>
        <w:numPr>
          <w:ilvl w:val="255"/>
          <w:numId w:val="0"/>
        </w:numPr>
        <w:snapToGrid w:val="0"/>
        <w:spacing w:line="500" w:lineRule="exact"/>
        <w:ind w:firstLine="480" w:firstLineChars="200"/>
        <w:jc w:val="left"/>
        <w:rPr>
          <w:rFonts w:hint="default" w:ascii="Times New Roman" w:hAnsi="Times New Roman" w:cs="Times New Roman" w:eastAsiaTheme="minorEastAsia"/>
          <w:sz w:val="24"/>
          <w:shd w:val="clear" w:color="auto" w:fill="FFFFFF"/>
          <w:lang w:val="en-US" w:eastAsia="zh-CN"/>
        </w:rPr>
      </w:pPr>
      <w:r>
        <w:rPr>
          <w:rFonts w:hint="eastAsia" w:ascii="Times New Roman" w:hAnsi="Times New Roman" w:cs="Times New Roman"/>
          <w:sz w:val="24"/>
          <w:szCs w:val="24"/>
        </w:rPr>
        <w:t>该章内容</w:t>
      </w:r>
      <w:r>
        <w:rPr>
          <w:rFonts w:hint="eastAsia" w:ascii="Times New Roman" w:hAnsi="Times New Roman" w:cs="Times New Roman"/>
          <w:sz w:val="24"/>
          <w:szCs w:val="24"/>
          <w:lang w:val="en-US" w:eastAsia="zh-CN"/>
        </w:rPr>
        <w:t>对学生的健康信息收集、使用目的、使用范围和存储方式提出了隐私保护和知情同意的建议。</w:t>
      </w:r>
    </w:p>
    <w:p>
      <w:pPr>
        <w:numPr>
          <w:ilvl w:val="0"/>
          <w:numId w:val="2"/>
        </w:numPr>
        <w:snapToGrid w:val="0"/>
        <w:spacing w:line="500" w:lineRule="exact"/>
        <w:ind w:firstLine="482" w:firstLineChars="200"/>
        <w:jc w:val="left"/>
        <w:rPr>
          <w:b/>
          <w:bCs/>
          <w:sz w:val="24"/>
        </w:rPr>
      </w:pPr>
      <w:r>
        <w:rPr>
          <w:rFonts w:hint="eastAsia"/>
          <w:b/>
          <w:bCs/>
          <w:sz w:val="24"/>
        </w:rPr>
        <w:t>重大分歧意见的处理过程和依据</w:t>
      </w:r>
    </w:p>
    <w:p>
      <w:pPr>
        <w:numPr>
          <w:ilvl w:val="255"/>
          <w:numId w:val="0"/>
        </w:numPr>
        <w:snapToGrid w:val="0"/>
        <w:spacing w:line="500" w:lineRule="exact"/>
        <w:ind w:firstLine="480" w:firstLineChars="200"/>
        <w:jc w:val="left"/>
        <w:rPr>
          <w:rFonts w:ascii="Times New Roman" w:hAnsi="Times New Roman" w:cs="Times New Roman"/>
          <w:sz w:val="24"/>
          <w:szCs w:val="24"/>
        </w:rPr>
      </w:pPr>
      <w:r>
        <w:rPr>
          <w:rFonts w:hint="eastAsia" w:ascii="Times New Roman" w:hAnsi="Times New Roman" w:cs="Times New Roman"/>
          <w:sz w:val="24"/>
          <w:szCs w:val="24"/>
        </w:rPr>
        <w:t>无。</w:t>
      </w:r>
    </w:p>
    <w:p>
      <w:pPr>
        <w:spacing w:line="360" w:lineRule="auto"/>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七、与相关法律法规和国家标准的关系</w:t>
      </w:r>
    </w:p>
    <w:p>
      <w:pPr>
        <w:snapToGrid w:val="0"/>
        <w:spacing w:line="500" w:lineRule="exact"/>
        <w:ind w:firstLine="480" w:firstLineChars="200"/>
        <w:rPr>
          <w:rFonts w:ascii="Times New Roman" w:hAnsi="Times New Roman" w:cs="Times New Roman"/>
          <w:sz w:val="24"/>
          <w:szCs w:val="24"/>
        </w:rPr>
      </w:pPr>
      <w:r>
        <w:rPr>
          <w:rFonts w:ascii="Times New Roman" w:hAnsi="Times New Roman" w:cs="Times New Roman"/>
          <w:sz w:val="24"/>
          <w:szCs w:val="24"/>
        </w:rPr>
        <w:t>目前国内外尚没有相关的国际标准、国家标准或行业标准，与现行的法律、法规无冲突和违背。</w:t>
      </w:r>
    </w:p>
    <w:p>
      <w:pPr>
        <w:snapToGrid w:val="0"/>
        <w:spacing w:line="5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本标准引用了6项国家标准、3项行业标准和1项企业标准，分别为GB 7793 中小学校教室采光和照明卫生标准、GB/T 18206 中小学健康教育规范、GB/T 36876 中小学校普通教室照明设计安装卫生要求、GB/T 3976 学校课桌椅功能尺寸及技术要求、GB/T 5699 采光测量方法、GB/T 5700 照明测量方法、WS/T 663 中小学生屈光不正筛查规范、WS/T 200儿童少年斜视的诊断及疗效评价、WS/T 201儿童少年弱视的诊断及疗效评价和QB/T 5448 眼科光学验光配镜技术规范；同时在编制过程中，还参考了以下政策文件、指南规范，分别为《儿童青少年近视防控公共卫生综合干预技术指南》（国疾控综卫免函〔2023〕218号）、《儿童青少年近视防控适宜技术指南（更新版）》（国卫办疾控函〔2021〕517号）和T/CHAA 008 中小学生视力健康管理技术服务规范。</w:t>
      </w:r>
    </w:p>
    <w:p>
      <w:pPr>
        <w:spacing w:line="360" w:lineRule="auto"/>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八、推广实施建议</w:t>
      </w:r>
    </w:p>
    <w:p>
      <w:pPr>
        <w:snapToGrid w:val="0"/>
        <w:spacing w:line="5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本标准第一起草单位是江苏省疾病预防控制中心，会对标准进行释义，在标准发布以后，会</w:t>
      </w:r>
      <w:r>
        <w:rPr>
          <w:rFonts w:ascii="Times New Roman" w:hAnsi="Times New Roman" w:cs="Times New Roman"/>
          <w:sz w:val="24"/>
          <w:szCs w:val="24"/>
        </w:rPr>
        <w:t>通过开展培训，组织经验分享，定期督导评估等形式开展标准的宣贯实施工作。本标准规定了中小学生视力健康管理服务，</w:t>
      </w:r>
      <w:r>
        <w:rPr>
          <w:rFonts w:hint="eastAsia" w:ascii="Times New Roman" w:hAnsi="Times New Roman" w:cs="Times New Roman"/>
          <w:sz w:val="24"/>
          <w:szCs w:val="24"/>
        </w:rPr>
        <w:t>涉及到中小学视力健康管理服务的单位可参考本标准，落实</w:t>
      </w:r>
      <w:r>
        <w:rPr>
          <w:rFonts w:ascii="Times New Roman" w:hAnsi="Times New Roman" w:cs="Times New Roman"/>
          <w:sz w:val="24"/>
          <w:szCs w:val="24"/>
        </w:rPr>
        <w:t>好各项相关条款。</w:t>
      </w:r>
    </w:p>
    <w:p>
      <w:pPr>
        <w:adjustRightInd w:val="0"/>
        <w:spacing w:line="360" w:lineRule="auto"/>
        <w:ind w:left="139" w:leftChars="66" w:firstLine="480" w:firstLineChars="200"/>
        <w:rPr>
          <w:rFonts w:ascii="Times New Roman" w:hAnsi="Times New Roman" w:cs="Times New Roman"/>
          <w:sz w:val="24"/>
          <w:szCs w:val="24"/>
          <w:shd w:val="clear" w:color="auto" w:fill="FFFFFF"/>
        </w:rPr>
      </w:pPr>
      <w:r>
        <w:rPr>
          <w:rFonts w:hint="eastAsia" w:ascii="Times New Roman" w:hAnsi="Times New Roman" w:cs="Times New Roman"/>
          <w:sz w:val="24"/>
          <w:szCs w:val="24"/>
          <w:shd w:val="clear" w:color="auto" w:fill="FFFFFF"/>
        </w:rPr>
        <w:t>为了保证标准的贯彻执行</w:t>
      </w:r>
      <w:r>
        <w:rPr>
          <w:rFonts w:ascii="Times New Roman" w:hAnsi="Times New Roman" w:cs="Times New Roman"/>
          <w:sz w:val="24"/>
          <w:szCs w:val="24"/>
          <w:shd w:val="clear" w:color="auto" w:fill="FFFFFF"/>
        </w:rPr>
        <w:t>，具体要求有：</w:t>
      </w:r>
    </w:p>
    <w:p>
      <w:pPr>
        <w:spacing w:line="360" w:lineRule="auto"/>
        <w:ind w:firstLine="480" w:firstLineChars="20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1、对标准进行必要的宣传；</w:t>
      </w:r>
    </w:p>
    <w:p>
      <w:pPr>
        <w:spacing w:line="360" w:lineRule="auto"/>
        <w:ind w:firstLine="480" w:firstLineChars="20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2、对</w:t>
      </w:r>
      <w:r>
        <w:rPr>
          <w:rFonts w:hint="eastAsia" w:ascii="Times New Roman" w:hAnsi="Times New Roman" w:cs="Times New Roman"/>
          <w:sz w:val="24"/>
          <w:szCs w:val="24"/>
          <w:shd w:val="clear" w:color="auto" w:fill="FFFFFF"/>
        </w:rPr>
        <w:t>中小学生视力健康维护的</w:t>
      </w:r>
      <w:r>
        <w:rPr>
          <w:rFonts w:ascii="Times New Roman" w:hAnsi="Times New Roman" w:cs="Times New Roman"/>
          <w:sz w:val="24"/>
          <w:szCs w:val="24"/>
          <w:shd w:val="clear" w:color="auto" w:fill="FFFFFF"/>
        </w:rPr>
        <w:t xml:space="preserve">相关人员进行培训； </w:t>
      </w:r>
    </w:p>
    <w:p>
      <w:pPr>
        <w:adjustRightInd w:val="0"/>
        <w:spacing w:line="360" w:lineRule="auto"/>
        <w:ind w:firstLine="480" w:firstLineChars="20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3、实践中不断检验，总结经验</w:t>
      </w:r>
      <w:r>
        <w:rPr>
          <w:rFonts w:hint="eastAsia" w:ascii="Times New Roman" w:hAnsi="Times New Roman" w:cs="Times New Roman"/>
          <w:sz w:val="24"/>
          <w:szCs w:val="24"/>
          <w:shd w:val="clear" w:color="auto" w:fill="FFFFFF"/>
        </w:rPr>
        <w:t>，持续提升江苏省儿童青少年视力健康水平，从而为促进中小学生健康成长贡献力量</w:t>
      </w:r>
      <w:r>
        <w:rPr>
          <w:rFonts w:ascii="Times New Roman" w:hAnsi="Times New Roman" w:cs="Times New Roman"/>
          <w:sz w:val="24"/>
          <w:szCs w:val="24"/>
          <w:shd w:val="clear" w:color="auto" w:fill="FFFFFF"/>
        </w:rPr>
        <w:t>。</w:t>
      </w:r>
    </w:p>
    <w:p>
      <w:pPr>
        <w:spacing w:line="360" w:lineRule="auto"/>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九、起草单位和起草人员信息及分工</w:t>
      </w:r>
    </w:p>
    <w:p>
      <w:pPr>
        <w:spacing w:line="360" w:lineRule="auto"/>
        <w:ind w:firstLine="480" w:firstLineChars="200"/>
        <w:rPr>
          <w:rFonts w:ascii="Times New Roman" w:hAnsi="Times New Roman" w:cs="Times New Roman"/>
          <w:b/>
          <w:sz w:val="24"/>
          <w:szCs w:val="24"/>
          <w:shd w:val="clear" w:color="auto" w:fill="FFFFFF"/>
        </w:rPr>
      </w:pPr>
      <w:r>
        <w:rPr>
          <w:rFonts w:hint="eastAsia" w:ascii="Times New Roman" w:hAnsi="Times New Roman" w:cs="Times New Roman"/>
          <w:sz w:val="24"/>
          <w:szCs w:val="24"/>
          <w:shd w:val="clear" w:color="auto" w:fill="FFFFFF"/>
        </w:rPr>
        <w:t>起草单位由江苏省疾病预防控制中心、南京医科大学、南京市中小学卫生保健所、东南大学、扬州市疾病预防控制中心、宿迁市疾病预防控制中心组成，起草人员信息及分工见下表：</w:t>
      </w:r>
    </w:p>
    <w:tbl>
      <w:tblPr>
        <w:tblStyle w:val="11"/>
        <w:tblW w:w="86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0"/>
        <w:gridCol w:w="3311"/>
        <w:gridCol w:w="1418"/>
        <w:gridCol w:w="2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tcPr>
          <w:p>
            <w:pPr>
              <w:spacing w:line="360" w:lineRule="auto"/>
              <w:jc w:val="center"/>
              <w:rPr>
                <w:rFonts w:ascii="Times New Roman" w:hAnsi="Times New Roman" w:cs="Times New Roman"/>
                <w:b/>
                <w:sz w:val="24"/>
                <w:szCs w:val="24"/>
              </w:rPr>
            </w:pPr>
            <w:r>
              <w:rPr>
                <w:rFonts w:hint="eastAsia" w:ascii="Times New Roman" w:hAnsi="Times New Roman" w:cs="Times New Roman"/>
                <w:b/>
                <w:sz w:val="24"/>
                <w:szCs w:val="24"/>
              </w:rPr>
              <w:t>姓名</w:t>
            </w:r>
          </w:p>
        </w:tc>
        <w:tc>
          <w:tcPr>
            <w:tcW w:w="3311" w:type="dxa"/>
          </w:tcPr>
          <w:p>
            <w:pPr>
              <w:spacing w:line="360" w:lineRule="auto"/>
              <w:jc w:val="center"/>
              <w:rPr>
                <w:rFonts w:ascii="Times New Roman" w:hAnsi="Times New Roman" w:cs="Times New Roman"/>
                <w:b/>
                <w:sz w:val="24"/>
                <w:szCs w:val="24"/>
              </w:rPr>
            </w:pPr>
            <w:r>
              <w:rPr>
                <w:rFonts w:hint="eastAsia" w:ascii="Times New Roman" w:hAnsi="Times New Roman" w:cs="Times New Roman"/>
                <w:b/>
                <w:sz w:val="24"/>
                <w:szCs w:val="24"/>
              </w:rPr>
              <w:t>单位</w:t>
            </w:r>
          </w:p>
        </w:tc>
        <w:tc>
          <w:tcPr>
            <w:tcW w:w="1418" w:type="dxa"/>
          </w:tcPr>
          <w:p>
            <w:pPr>
              <w:spacing w:line="360" w:lineRule="auto"/>
              <w:jc w:val="center"/>
              <w:rPr>
                <w:rFonts w:ascii="Times New Roman" w:hAnsi="Times New Roman" w:cs="Times New Roman"/>
                <w:b/>
                <w:sz w:val="24"/>
                <w:szCs w:val="24"/>
              </w:rPr>
            </w:pPr>
            <w:r>
              <w:rPr>
                <w:rFonts w:hint="eastAsia" w:ascii="Times New Roman" w:hAnsi="Times New Roman" w:cs="Times New Roman"/>
                <w:b/>
                <w:sz w:val="24"/>
                <w:szCs w:val="24"/>
              </w:rPr>
              <w:t>职称</w:t>
            </w:r>
          </w:p>
        </w:tc>
        <w:tc>
          <w:tcPr>
            <w:tcW w:w="2219" w:type="dxa"/>
          </w:tcPr>
          <w:p>
            <w:pPr>
              <w:spacing w:line="360" w:lineRule="auto"/>
              <w:jc w:val="center"/>
              <w:rPr>
                <w:rFonts w:ascii="Times New Roman" w:hAnsi="Times New Roman" w:cs="Times New Roman"/>
                <w:b/>
                <w:sz w:val="24"/>
                <w:szCs w:val="24"/>
              </w:rPr>
            </w:pPr>
            <w:r>
              <w:rPr>
                <w:rFonts w:hint="eastAsia" w:ascii="Times New Roman" w:hAnsi="Times New Roman" w:cs="Times New Roman"/>
                <w:b/>
                <w:sz w:val="24"/>
                <w:szCs w:val="24"/>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王艳</w:t>
            </w:r>
          </w:p>
        </w:tc>
        <w:tc>
          <w:tcPr>
            <w:tcW w:w="3311"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江苏省疾病预防控制中心</w:t>
            </w:r>
          </w:p>
        </w:tc>
        <w:tc>
          <w:tcPr>
            <w:tcW w:w="1418"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副主任医师</w:t>
            </w:r>
          </w:p>
        </w:tc>
        <w:tc>
          <w:tcPr>
            <w:tcW w:w="2219"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全面负责标准起草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杜江波</w:t>
            </w:r>
          </w:p>
        </w:tc>
        <w:tc>
          <w:tcPr>
            <w:tcW w:w="3311"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南京医科大学</w:t>
            </w:r>
          </w:p>
        </w:tc>
        <w:tc>
          <w:tcPr>
            <w:tcW w:w="1418"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副教授</w:t>
            </w:r>
          </w:p>
        </w:tc>
        <w:tc>
          <w:tcPr>
            <w:tcW w:w="2219"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吴琼</w:t>
            </w:r>
          </w:p>
        </w:tc>
        <w:tc>
          <w:tcPr>
            <w:tcW w:w="3311"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南京市中小学卫生保健所</w:t>
            </w:r>
          </w:p>
        </w:tc>
        <w:tc>
          <w:tcPr>
            <w:tcW w:w="1418"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副研究员</w:t>
            </w:r>
          </w:p>
        </w:tc>
        <w:tc>
          <w:tcPr>
            <w:tcW w:w="2219"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tcPr>
          <w:p>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杨婕</w:t>
            </w:r>
          </w:p>
        </w:tc>
        <w:tc>
          <w:tcPr>
            <w:tcW w:w="3311" w:type="dxa"/>
          </w:tcPr>
          <w:p>
            <w:pPr>
              <w:spacing w:line="360" w:lineRule="auto"/>
              <w:jc w:val="center"/>
              <w:rPr>
                <w:rFonts w:hint="eastAsia" w:ascii="Times New Roman" w:hAnsi="Times New Roman" w:cs="Times New Roman"/>
                <w:bCs/>
                <w:sz w:val="24"/>
                <w:szCs w:val="24"/>
              </w:rPr>
            </w:pPr>
            <w:r>
              <w:rPr>
                <w:rFonts w:hint="eastAsia" w:ascii="Times New Roman" w:hAnsi="Times New Roman" w:cs="Times New Roman"/>
                <w:bCs/>
                <w:sz w:val="24"/>
                <w:szCs w:val="24"/>
              </w:rPr>
              <w:t>江苏省疾病预防控制中心</w:t>
            </w:r>
          </w:p>
          <w:p>
            <w:pPr>
              <w:spacing w:line="360" w:lineRule="auto"/>
              <w:jc w:val="center"/>
              <w:rPr>
                <w:rFonts w:hint="default" w:ascii="Times New Roman" w:hAnsi="Times New Roman" w:cs="Times New Roman" w:eastAsiaTheme="minorEastAsia"/>
                <w:bCs/>
                <w:sz w:val="24"/>
                <w:szCs w:val="24"/>
                <w:lang w:val="en-US" w:eastAsia="zh-CN"/>
              </w:rPr>
            </w:pPr>
            <w:r>
              <w:rPr>
                <w:rFonts w:hint="eastAsia" w:ascii="Times New Roman" w:hAnsi="Times New Roman" w:cs="Times New Roman"/>
                <w:bCs/>
                <w:sz w:val="24"/>
                <w:szCs w:val="24"/>
                <w:lang w:val="en-US" w:eastAsia="zh-CN"/>
              </w:rPr>
              <w:t>南京医科大学</w:t>
            </w:r>
          </w:p>
        </w:tc>
        <w:tc>
          <w:tcPr>
            <w:tcW w:w="1418"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主任医师</w:t>
            </w:r>
          </w:p>
        </w:tc>
        <w:tc>
          <w:tcPr>
            <w:tcW w:w="2219"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组织协调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tcPr>
          <w:p>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周永林</w:t>
            </w:r>
          </w:p>
        </w:tc>
        <w:tc>
          <w:tcPr>
            <w:tcW w:w="3311"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江苏省疾病预防控制中心</w:t>
            </w:r>
          </w:p>
        </w:tc>
        <w:tc>
          <w:tcPr>
            <w:tcW w:w="1418"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主任医师</w:t>
            </w:r>
          </w:p>
        </w:tc>
        <w:tc>
          <w:tcPr>
            <w:tcW w:w="2219"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张锡彦</w:t>
            </w:r>
          </w:p>
        </w:tc>
        <w:tc>
          <w:tcPr>
            <w:tcW w:w="3311"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江苏省疾病预防控制中心</w:t>
            </w:r>
          </w:p>
        </w:tc>
        <w:tc>
          <w:tcPr>
            <w:tcW w:w="1418"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主管医师</w:t>
            </w:r>
          </w:p>
        </w:tc>
        <w:tc>
          <w:tcPr>
            <w:tcW w:w="2219"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查阅文献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信义亮</w:t>
            </w:r>
          </w:p>
        </w:tc>
        <w:tc>
          <w:tcPr>
            <w:tcW w:w="3311"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江苏省疾病预防控制中心</w:t>
            </w:r>
          </w:p>
        </w:tc>
        <w:tc>
          <w:tcPr>
            <w:tcW w:w="1418"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主管医师</w:t>
            </w:r>
          </w:p>
        </w:tc>
        <w:tc>
          <w:tcPr>
            <w:tcW w:w="2219"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查阅文献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闫京晶</w:t>
            </w:r>
          </w:p>
        </w:tc>
        <w:tc>
          <w:tcPr>
            <w:tcW w:w="3311"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宿迁市疾病预防控制中心</w:t>
            </w:r>
          </w:p>
        </w:tc>
        <w:tc>
          <w:tcPr>
            <w:tcW w:w="1418"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副主任医师</w:t>
            </w:r>
          </w:p>
        </w:tc>
        <w:tc>
          <w:tcPr>
            <w:tcW w:w="2219"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撰写规范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姚庆兵</w:t>
            </w:r>
          </w:p>
        </w:tc>
        <w:tc>
          <w:tcPr>
            <w:tcW w:w="3311" w:type="dxa"/>
          </w:tcPr>
          <w:p>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扬州市疾病预防控制中心</w:t>
            </w:r>
          </w:p>
        </w:tc>
        <w:tc>
          <w:tcPr>
            <w:tcW w:w="1418"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主任医师</w:t>
            </w:r>
          </w:p>
        </w:tc>
        <w:tc>
          <w:tcPr>
            <w:tcW w:w="2219"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撰写规范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朱维维</w:t>
            </w:r>
          </w:p>
        </w:tc>
        <w:tc>
          <w:tcPr>
            <w:tcW w:w="3311"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扬州市疾病预防控制中心</w:t>
            </w:r>
          </w:p>
        </w:tc>
        <w:tc>
          <w:tcPr>
            <w:tcW w:w="1418"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副主任医师</w:t>
            </w:r>
          </w:p>
        </w:tc>
        <w:tc>
          <w:tcPr>
            <w:tcW w:w="2219"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撰写编制说明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孙蕾</w:t>
            </w:r>
          </w:p>
        </w:tc>
        <w:tc>
          <w:tcPr>
            <w:tcW w:w="3311" w:type="dxa"/>
          </w:tcPr>
          <w:p>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扬州市疾病预防控制中心</w:t>
            </w:r>
          </w:p>
        </w:tc>
        <w:tc>
          <w:tcPr>
            <w:tcW w:w="1418"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主管医师</w:t>
            </w:r>
          </w:p>
        </w:tc>
        <w:tc>
          <w:tcPr>
            <w:tcW w:w="2219"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撰写编制说明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余晋霞</w:t>
            </w:r>
          </w:p>
        </w:tc>
        <w:tc>
          <w:tcPr>
            <w:tcW w:w="3311"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东南大学</w:t>
            </w:r>
          </w:p>
        </w:tc>
        <w:tc>
          <w:tcPr>
            <w:tcW w:w="1418" w:type="dxa"/>
          </w:tcPr>
          <w:p>
            <w:pPr>
              <w:spacing w:line="360" w:lineRule="auto"/>
              <w:jc w:val="center"/>
              <w:rPr>
                <w:rFonts w:hint="eastAsia" w:ascii="Times New Roman" w:hAnsi="Times New Roman" w:cs="Times New Roman" w:eastAsiaTheme="minorEastAsia"/>
                <w:bCs/>
                <w:sz w:val="24"/>
                <w:szCs w:val="24"/>
                <w:lang w:val="en-US" w:eastAsia="zh-CN"/>
              </w:rPr>
            </w:pPr>
            <w:r>
              <w:rPr>
                <w:rFonts w:hint="eastAsia" w:ascii="Times New Roman" w:hAnsi="Times New Roman" w:cs="Times New Roman"/>
                <w:bCs/>
                <w:sz w:val="24"/>
                <w:szCs w:val="24"/>
                <w:lang w:val="en-US" w:eastAsia="zh-CN"/>
              </w:rPr>
              <w:t>研究生</w:t>
            </w:r>
          </w:p>
        </w:tc>
        <w:tc>
          <w:tcPr>
            <w:tcW w:w="2219"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文献检索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曲晓涵</w:t>
            </w:r>
          </w:p>
        </w:tc>
        <w:tc>
          <w:tcPr>
            <w:tcW w:w="3311"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东南大学</w:t>
            </w:r>
          </w:p>
        </w:tc>
        <w:tc>
          <w:tcPr>
            <w:tcW w:w="1418" w:type="dxa"/>
          </w:tcPr>
          <w:p>
            <w:pPr>
              <w:spacing w:line="360" w:lineRule="auto"/>
              <w:jc w:val="center"/>
              <w:rPr>
                <w:rFonts w:hint="eastAsia" w:ascii="Times New Roman" w:hAnsi="Times New Roman" w:cs="Times New Roman" w:eastAsiaTheme="minorEastAsia"/>
                <w:bCs/>
                <w:sz w:val="24"/>
                <w:szCs w:val="24"/>
                <w:lang w:val="en-US" w:eastAsia="zh-CN"/>
              </w:rPr>
            </w:pPr>
            <w:r>
              <w:rPr>
                <w:rFonts w:hint="eastAsia" w:ascii="Times New Roman" w:hAnsi="Times New Roman" w:cs="Times New Roman"/>
                <w:bCs/>
                <w:sz w:val="24"/>
                <w:szCs w:val="24"/>
                <w:lang w:val="en-US" w:eastAsia="zh-CN"/>
              </w:rPr>
              <w:t>研究生</w:t>
            </w:r>
          </w:p>
        </w:tc>
        <w:tc>
          <w:tcPr>
            <w:tcW w:w="2219"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校准核对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0"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胡志云</w:t>
            </w:r>
          </w:p>
        </w:tc>
        <w:tc>
          <w:tcPr>
            <w:tcW w:w="3311"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东南大学</w:t>
            </w:r>
          </w:p>
        </w:tc>
        <w:tc>
          <w:tcPr>
            <w:tcW w:w="1418" w:type="dxa"/>
          </w:tcPr>
          <w:p>
            <w:pPr>
              <w:spacing w:line="360" w:lineRule="auto"/>
              <w:jc w:val="center"/>
              <w:rPr>
                <w:rFonts w:hint="eastAsia" w:ascii="Times New Roman" w:hAnsi="Times New Roman" w:cs="Times New Roman" w:eastAsiaTheme="minorEastAsia"/>
                <w:bCs/>
                <w:sz w:val="24"/>
                <w:szCs w:val="24"/>
                <w:lang w:val="en-US" w:eastAsia="zh-CN"/>
              </w:rPr>
            </w:pPr>
            <w:r>
              <w:rPr>
                <w:rFonts w:hint="eastAsia" w:ascii="Times New Roman" w:hAnsi="Times New Roman" w:cs="Times New Roman"/>
                <w:bCs/>
                <w:sz w:val="24"/>
                <w:szCs w:val="24"/>
                <w:lang w:val="en-US" w:eastAsia="zh-CN"/>
              </w:rPr>
              <w:t>研究生</w:t>
            </w:r>
          </w:p>
        </w:tc>
        <w:tc>
          <w:tcPr>
            <w:tcW w:w="2219" w:type="dxa"/>
          </w:tcPr>
          <w:p>
            <w:pPr>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校准核对</w:t>
            </w:r>
          </w:p>
        </w:tc>
      </w:tr>
    </w:tbl>
    <w:p>
      <w:pPr>
        <w:jc w:val="right"/>
        <w:rPr>
          <w:rFonts w:ascii="Times New Roman" w:hAnsi="Times New Roman" w:cs="Times New Roman"/>
          <w:sz w:val="24"/>
          <w:szCs w:val="24"/>
        </w:rPr>
      </w:pPr>
    </w:p>
    <w:p>
      <w:pPr>
        <w:jc w:val="right"/>
        <w:rPr>
          <w:rFonts w:ascii="Times New Roman" w:hAnsi="Times New Roman" w:cs="Times New Roman"/>
          <w:sz w:val="24"/>
          <w:szCs w:val="24"/>
        </w:rPr>
      </w:pPr>
      <w:r>
        <w:rPr>
          <w:rFonts w:ascii="Times New Roman" w:hAnsi="Times New Roman" w:cs="Times New Roman"/>
          <w:sz w:val="24"/>
          <w:szCs w:val="24"/>
        </w:rPr>
        <w:t>《中</w:t>
      </w:r>
      <w:r>
        <w:rPr>
          <w:rFonts w:hint="eastAsia" w:ascii="Times New Roman" w:hAnsi="Times New Roman" w:cs="Times New Roman"/>
          <w:sz w:val="24"/>
          <w:szCs w:val="24"/>
        </w:rPr>
        <w:t>小学生健康管理</w:t>
      </w:r>
      <w:r>
        <w:rPr>
          <w:rFonts w:hint="eastAsia" w:ascii="Times New Roman" w:hAnsi="Times New Roman" w:cs="Times New Roman"/>
          <w:sz w:val="24"/>
          <w:szCs w:val="24"/>
          <w:lang w:val="en-US" w:eastAsia="zh-CN"/>
        </w:rPr>
        <w:t>技术</w:t>
      </w:r>
      <w:r>
        <w:rPr>
          <w:rFonts w:hint="eastAsia" w:ascii="Times New Roman" w:hAnsi="Times New Roman" w:cs="Times New Roman"/>
          <w:sz w:val="24"/>
          <w:szCs w:val="24"/>
        </w:rPr>
        <w:t>规范</w:t>
      </w:r>
      <w:r>
        <w:rPr>
          <w:rFonts w:ascii="Times New Roman" w:hAnsi="Times New Roman" w:cs="Times New Roman"/>
          <w:sz w:val="24"/>
          <w:szCs w:val="24"/>
        </w:rPr>
        <w:t>》</w:t>
      </w:r>
      <w:r>
        <w:rPr>
          <w:rFonts w:hint="eastAsia" w:ascii="Times New Roman" w:hAnsi="Times New Roman" w:cs="Times New Roman"/>
          <w:sz w:val="24"/>
          <w:szCs w:val="24"/>
        </w:rPr>
        <w:t>视力健康</w:t>
      </w:r>
      <w:bookmarkStart w:id="0" w:name="_GoBack"/>
      <w:bookmarkEnd w:id="0"/>
      <w:r>
        <w:rPr>
          <w:rFonts w:ascii="Times New Roman" w:hAnsi="Times New Roman" w:cs="Times New Roman"/>
          <w:sz w:val="24"/>
          <w:szCs w:val="24"/>
        </w:rPr>
        <w:t>编制组</w:t>
      </w:r>
    </w:p>
    <w:p>
      <w:pPr>
        <w:adjustRightInd w:val="0"/>
        <w:spacing w:line="360" w:lineRule="auto"/>
        <w:ind w:firstLine="480" w:firstLineChars="200"/>
        <w:jc w:val="right"/>
        <w:rPr>
          <w:rFonts w:ascii="Times New Roman" w:hAnsi="Times New Roman" w:cs="Times New Roman"/>
          <w:sz w:val="24"/>
          <w:szCs w:val="24"/>
          <w:shd w:val="clear" w:color="auto" w:fill="FFFFFF"/>
        </w:rPr>
      </w:pPr>
      <w:r>
        <w:rPr>
          <w:rFonts w:ascii="Times New Roman" w:hAnsi="Times New Roman" w:cs="Times New Roman"/>
          <w:kern w:val="0"/>
          <w:sz w:val="24"/>
          <w:szCs w:val="24"/>
        </w:rPr>
        <w:t xml:space="preserve">                             二〇二</w:t>
      </w:r>
      <w:r>
        <w:rPr>
          <w:rFonts w:hint="eastAsia" w:ascii="Times New Roman" w:hAnsi="Times New Roman" w:cs="Times New Roman"/>
          <w:kern w:val="0"/>
          <w:sz w:val="24"/>
          <w:szCs w:val="24"/>
        </w:rPr>
        <w:t>四</w:t>
      </w:r>
      <w:r>
        <w:rPr>
          <w:rFonts w:ascii="Times New Roman" w:hAnsi="Times New Roman" w:cs="Times New Roman"/>
          <w:kern w:val="0"/>
          <w:sz w:val="24"/>
          <w:szCs w:val="24"/>
        </w:rPr>
        <w:t>年</w:t>
      </w:r>
      <w:r>
        <w:rPr>
          <w:rFonts w:hint="eastAsia" w:ascii="Times New Roman" w:hAnsi="Times New Roman" w:cs="Times New Roman"/>
          <w:kern w:val="0"/>
          <w:sz w:val="24"/>
          <w:szCs w:val="24"/>
          <w:lang w:val="en-US" w:eastAsia="zh-CN"/>
        </w:rPr>
        <w:t>五</w:t>
      </w:r>
      <w:r>
        <w:rPr>
          <w:rFonts w:ascii="Times New Roman" w:hAnsi="Times New Roman" w:cs="Times New Roman"/>
          <w:kern w:val="0"/>
          <w:sz w:val="24"/>
          <w:szCs w:val="24"/>
        </w:rPr>
        <w:t>月</w:t>
      </w:r>
      <w:r>
        <w:rPr>
          <w:rFonts w:hint="eastAsia" w:ascii="Times New Roman" w:hAnsi="Times New Roman" w:cs="Times New Roman"/>
          <w:kern w:val="0"/>
          <w:sz w:val="24"/>
          <w:szCs w:val="24"/>
          <w:lang w:val="en-US" w:eastAsia="zh-CN"/>
        </w:rPr>
        <w:t>十六</w:t>
      </w:r>
      <w:r>
        <w:rPr>
          <w:rFonts w:ascii="Times New Roman" w:hAnsi="Times New Roman" w:cs="Times New Roman"/>
          <w:kern w:val="0"/>
          <w:sz w:val="24"/>
          <w:szCs w:val="24"/>
        </w:rPr>
        <w:t>日</w:t>
      </w:r>
    </w:p>
    <w:p>
      <w:pPr>
        <w:rPr>
          <w:rFonts w:ascii="Times New Roman" w:hAnsi="Times New Roman" w:cs="Times New Roman"/>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92733049"/>
    </w:sdtPr>
    <w:sdtEndPr>
      <w:rPr>
        <w:rFonts w:ascii="Times New Roman" w:hAnsi="Times New Roman" w:cs="Times New Roman"/>
      </w:rPr>
    </w:sdtEndPr>
    <w:sdtContent>
      <w:p>
        <w:pPr>
          <w:pStyle w:val="7"/>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2BE862"/>
    <w:multiLevelType w:val="singleLevel"/>
    <w:tmpl w:val="802BE862"/>
    <w:lvl w:ilvl="0" w:tentative="0">
      <w:start w:val="5"/>
      <w:numFmt w:val="chineseCounting"/>
      <w:suff w:val="nothing"/>
      <w:lvlText w:val="%1、"/>
      <w:lvlJc w:val="left"/>
      <w:rPr>
        <w:rFonts w:hint="eastAsia"/>
      </w:rPr>
    </w:lvl>
  </w:abstractNum>
  <w:abstractNum w:abstractNumId="1">
    <w:nsid w:val="10AA3120"/>
    <w:multiLevelType w:val="singleLevel"/>
    <w:tmpl w:val="10AA3120"/>
    <w:lvl w:ilvl="0" w:tentative="0">
      <w:start w:val="1"/>
      <w:numFmt w:val="decimal"/>
      <w:suff w:val="nothing"/>
      <w:lvlText w:val="（%1）"/>
      <w:lvlJc w:val="left"/>
    </w:lvl>
  </w:abstractNum>
  <w:abstractNum w:abstractNumId="2">
    <w:nsid w:val="39D02E50"/>
    <w:multiLevelType w:val="multilevel"/>
    <w:tmpl w:val="39D02E50"/>
    <w:lvl w:ilvl="0" w:tentative="0">
      <w:start w:val="1"/>
      <w:numFmt w:val="decimal"/>
      <w:pStyle w:val="2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5Mjc3YTQyYzUyNGNhNWVhNTVkYjMzYzQyOTMzNjQifQ=="/>
  </w:docVars>
  <w:rsids>
    <w:rsidRoot w:val="00BB5FFD"/>
    <w:rsid w:val="00001614"/>
    <w:rsid w:val="00006D69"/>
    <w:rsid w:val="000105C8"/>
    <w:rsid w:val="00015C58"/>
    <w:rsid w:val="00017570"/>
    <w:rsid w:val="000248DD"/>
    <w:rsid w:val="00024C85"/>
    <w:rsid w:val="000258C1"/>
    <w:rsid w:val="0002649E"/>
    <w:rsid w:val="00027EC1"/>
    <w:rsid w:val="00032345"/>
    <w:rsid w:val="000354AE"/>
    <w:rsid w:val="00035B91"/>
    <w:rsid w:val="0003604B"/>
    <w:rsid w:val="00042A1D"/>
    <w:rsid w:val="00044617"/>
    <w:rsid w:val="00045B90"/>
    <w:rsid w:val="000500AF"/>
    <w:rsid w:val="0005393E"/>
    <w:rsid w:val="00055576"/>
    <w:rsid w:val="00061055"/>
    <w:rsid w:val="0006337C"/>
    <w:rsid w:val="00070393"/>
    <w:rsid w:val="00071A3C"/>
    <w:rsid w:val="000721A4"/>
    <w:rsid w:val="000759ED"/>
    <w:rsid w:val="00077F16"/>
    <w:rsid w:val="00080989"/>
    <w:rsid w:val="0008250D"/>
    <w:rsid w:val="00084104"/>
    <w:rsid w:val="000844DF"/>
    <w:rsid w:val="000950A4"/>
    <w:rsid w:val="000A395F"/>
    <w:rsid w:val="000B1035"/>
    <w:rsid w:val="000B2E4F"/>
    <w:rsid w:val="000B4062"/>
    <w:rsid w:val="000B7E95"/>
    <w:rsid w:val="000C06B8"/>
    <w:rsid w:val="000C0A88"/>
    <w:rsid w:val="000C2A0F"/>
    <w:rsid w:val="000C2D90"/>
    <w:rsid w:val="000C3231"/>
    <w:rsid w:val="000C4659"/>
    <w:rsid w:val="000C4B4C"/>
    <w:rsid w:val="000C4C70"/>
    <w:rsid w:val="000C6663"/>
    <w:rsid w:val="000D0DCE"/>
    <w:rsid w:val="000D2181"/>
    <w:rsid w:val="000D26D0"/>
    <w:rsid w:val="000D36E7"/>
    <w:rsid w:val="000D61ED"/>
    <w:rsid w:val="000D6CB9"/>
    <w:rsid w:val="000D6DA2"/>
    <w:rsid w:val="000D7BFD"/>
    <w:rsid w:val="000E410E"/>
    <w:rsid w:val="000E4377"/>
    <w:rsid w:val="000E5856"/>
    <w:rsid w:val="000E5F89"/>
    <w:rsid w:val="000E611D"/>
    <w:rsid w:val="000F3E5B"/>
    <w:rsid w:val="000F520C"/>
    <w:rsid w:val="0010000D"/>
    <w:rsid w:val="001050F8"/>
    <w:rsid w:val="00105D95"/>
    <w:rsid w:val="001071B6"/>
    <w:rsid w:val="0010743C"/>
    <w:rsid w:val="0011088A"/>
    <w:rsid w:val="001114D9"/>
    <w:rsid w:val="0011217A"/>
    <w:rsid w:val="00112353"/>
    <w:rsid w:val="0011262C"/>
    <w:rsid w:val="00113146"/>
    <w:rsid w:val="001169C5"/>
    <w:rsid w:val="00120118"/>
    <w:rsid w:val="00121926"/>
    <w:rsid w:val="00122C09"/>
    <w:rsid w:val="00123FEB"/>
    <w:rsid w:val="00131E4C"/>
    <w:rsid w:val="00131EC3"/>
    <w:rsid w:val="001336FA"/>
    <w:rsid w:val="00134495"/>
    <w:rsid w:val="00134CDF"/>
    <w:rsid w:val="00135942"/>
    <w:rsid w:val="001360E7"/>
    <w:rsid w:val="00136A9D"/>
    <w:rsid w:val="0014236D"/>
    <w:rsid w:val="00144C00"/>
    <w:rsid w:val="0015239C"/>
    <w:rsid w:val="00154218"/>
    <w:rsid w:val="00155AC2"/>
    <w:rsid w:val="00160F44"/>
    <w:rsid w:val="00161500"/>
    <w:rsid w:val="00162203"/>
    <w:rsid w:val="00164836"/>
    <w:rsid w:val="00165FD7"/>
    <w:rsid w:val="00166376"/>
    <w:rsid w:val="00167125"/>
    <w:rsid w:val="0017465E"/>
    <w:rsid w:val="00175F69"/>
    <w:rsid w:val="00177999"/>
    <w:rsid w:val="001779B8"/>
    <w:rsid w:val="0018008A"/>
    <w:rsid w:val="00182614"/>
    <w:rsid w:val="00183E7C"/>
    <w:rsid w:val="00187CA3"/>
    <w:rsid w:val="0019325A"/>
    <w:rsid w:val="00193D20"/>
    <w:rsid w:val="00194017"/>
    <w:rsid w:val="0019458D"/>
    <w:rsid w:val="0019558C"/>
    <w:rsid w:val="001A5D8B"/>
    <w:rsid w:val="001A6038"/>
    <w:rsid w:val="001B30FD"/>
    <w:rsid w:val="001B5F9A"/>
    <w:rsid w:val="001B67E6"/>
    <w:rsid w:val="001C005F"/>
    <w:rsid w:val="001C3C5B"/>
    <w:rsid w:val="001C4346"/>
    <w:rsid w:val="001C4559"/>
    <w:rsid w:val="001C64EE"/>
    <w:rsid w:val="001D0799"/>
    <w:rsid w:val="001D4E69"/>
    <w:rsid w:val="001E5C85"/>
    <w:rsid w:val="001E6DA5"/>
    <w:rsid w:val="001F2A22"/>
    <w:rsid w:val="001F5617"/>
    <w:rsid w:val="001F6AD8"/>
    <w:rsid w:val="002004E9"/>
    <w:rsid w:val="00202B80"/>
    <w:rsid w:val="00204CE4"/>
    <w:rsid w:val="00204F6B"/>
    <w:rsid w:val="00207A42"/>
    <w:rsid w:val="002143C6"/>
    <w:rsid w:val="00215AB6"/>
    <w:rsid w:val="002162B0"/>
    <w:rsid w:val="00216EB4"/>
    <w:rsid w:val="00217B8C"/>
    <w:rsid w:val="00223163"/>
    <w:rsid w:val="00223219"/>
    <w:rsid w:val="0022496A"/>
    <w:rsid w:val="00225F37"/>
    <w:rsid w:val="0022603E"/>
    <w:rsid w:val="00226C93"/>
    <w:rsid w:val="00226DA3"/>
    <w:rsid w:val="00227965"/>
    <w:rsid w:val="00227CE5"/>
    <w:rsid w:val="00227CFC"/>
    <w:rsid w:val="00230D8D"/>
    <w:rsid w:val="00233249"/>
    <w:rsid w:val="00237101"/>
    <w:rsid w:val="0024170A"/>
    <w:rsid w:val="00241807"/>
    <w:rsid w:val="00241890"/>
    <w:rsid w:val="00243215"/>
    <w:rsid w:val="00243569"/>
    <w:rsid w:val="0024504C"/>
    <w:rsid w:val="002450BC"/>
    <w:rsid w:val="0024596B"/>
    <w:rsid w:val="00252C37"/>
    <w:rsid w:val="00255FF6"/>
    <w:rsid w:val="00256156"/>
    <w:rsid w:val="00261187"/>
    <w:rsid w:val="00263381"/>
    <w:rsid w:val="00267AAD"/>
    <w:rsid w:val="00272380"/>
    <w:rsid w:val="00273445"/>
    <w:rsid w:val="00275464"/>
    <w:rsid w:val="0028209A"/>
    <w:rsid w:val="00282EA4"/>
    <w:rsid w:val="002866DA"/>
    <w:rsid w:val="00287955"/>
    <w:rsid w:val="002905C3"/>
    <w:rsid w:val="00290F14"/>
    <w:rsid w:val="00291025"/>
    <w:rsid w:val="00291178"/>
    <w:rsid w:val="002912AB"/>
    <w:rsid w:val="002947D4"/>
    <w:rsid w:val="002958A3"/>
    <w:rsid w:val="002A48E1"/>
    <w:rsid w:val="002A6E8D"/>
    <w:rsid w:val="002B04E8"/>
    <w:rsid w:val="002B19D7"/>
    <w:rsid w:val="002B30A3"/>
    <w:rsid w:val="002B4231"/>
    <w:rsid w:val="002B50EB"/>
    <w:rsid w:val="002B60BA"/>
    <w:rsid w:val="002C18F0"/>
    <w:rsid w:val="002C3D43"/>
    <w:rsid w:val="002C6414"/>
    <w:rsid w:val="002C71E6"/>
    <w:rsid w:val="002C767E"/>
    <w:rsid w:val="002D160B"/>
    <w:rsid w:val="002D17D3"/>
    <w:rsid w:val="002E1DC1"/>
    <w:rsid w:val="002E2F36"/>
    <w:rsid w:val="002E3239"/>
    <w:rsid w:val="002E41F8"/>
    <w:rsid w:val="002E488D"/>
    <w:rsid w:val="002F0AAF"/>
    <w:rsid w:val="002F3D00"/>
    <w:rsid w:val="002F4D29"/>
    <w:rsid w:val="002F5630"/>
    <w:rsid w:val="00301A2E"/>
    <w:rsid w:val="00303181"/>
    <w:rsid w:val="003033A4"/>
    <w:rsid w:val="00304A05"/>
    <w:rsid w:val="0030585C"/>
    <w:rsid w:val="00305B9B"/>
    <w:rsid w:val="00305CBB"/>
    <w:rsid w:val="00306743"/>
    <w:rsid w:val="00310D4E"/>
    <w:rsid w:val="003223F5"/>
    <w:rsid w:val="00322ACE"/>
    <w:rsid w:val="00322E45"/>
    <w:rsid w:val="0032419B"/>
    <w:rsid w:val="00324C77"/>
    <w:rsid w:val="00324D91"/>
    <w:rsid w:val="00325248"/>
    <w:rsid w:val="0032652C"/>
    <w:rsid w:val="00327138"/>
    <w:rsid w:val="003338BA"/>
    <w:rsid w:val="00334439"/>
    <w:rsid w:val="003347BD"/>
    <w:rsid w:val="003359D2"/>
    <w:rsid w:val="00336AAE"/>
    <w:rsid w:val="00344073"/>
    <w:rsid w:val="003453E9"/>
    <w:rsid w:val="0035400C"/>
    <w:rsid w:val="00356908"/>
    <w:rsid w:val="0035751E"/>
    <w:rsid w:val="00357EC4"/>
    <w:rsid w:val="00361B74"/>
    <w:rsid w:val="0036363F"/>
    <w:rsid w:val="00363701"/>
    <w:rsid w:val="00365547"/>
    <w:rsid w:val="00365B8C"/>
    <w:rsid w:val="00365E56"/>
    <w:rsid w:val="003708C9"/>
    <w:rsid w:val="003763F9"/>
    <w:rsid w:val="00376ACC"/>
    <w:rsid w:val="00381A34"/>
    <w:rsid w:val="00382AE0"/>
    <w:rsid w:val="00386247"/>
    <w:rsid w:val="00386F07"/>
    <w:rsid w:val="003942E9"/>
    <w:rsid w:val="003951D3"/>
    <w:rsid w:val="003A060B"/>
    <w:rsid w:val="003A65F2"/>
    <w:rsid w:val="003B18B1"/>
    <w:rsid w:val="003B2F91"/>
    <w:rsid w:val="003B4900"/>
    <w:rsid w:val="003B4FEA"/>
    <w:rsid w:val="003B522A"/>
    <w:rsid w:val="003B55F2"/>
    <w:rsid w:val="003B5AC6"/>
    <w:rsid w:val="003B7E36"/>
    <w:rsid w:val="003C03EE"/>
    <w:rsid w:val="003C398E"/>
    <w:rsid w:val="003C3B8F"/>
    <w:rsid w:val="003D04D9"/>
    <w:rsid w:val="003D0A90"/>
    <w:rsid w:val="003D1201"/>
    <w:rsid w:val="003D53A4"/>
    <w:rsid w:val="003D5D23"/>
    <w:rsid w:val="003D5F99"/>
    <w:rsid w:val="003D6463"/>
    <w:rsid w:val="003D742A"/>
    <w:rsid w:val="003E03E2"/>
    <w:rsid w:val="003E42F3"/>
    <w:rsid w:val="003E619F"/>
    <w:rsid w:val="003E6605"/>
    <w:rsid w:val="003E7505"/>
    <w:rsid w:val="003F087E"/>
    <w:rsid w:val="003F0AAC"/>
    <w:rsid w:val="003F0FA7"/>
    <w:rsid w:val="003F5036"/>
    <w:rsid w:val="003F7A7D"/>
    <w:rsid w:val="004006E1"/>
    <w:rsid w:val="0040491F"/>
    <w:rsid w:val="004130B9"/>
    <w:rsid w:val="004144E5"/>
    <w:rsid w:val="00420179"/>
    <w:rsid w:val="004214F4"/>
    <w:rsid w:val="004251F4"/>
    <w:rsid w:val="0042600B"/>
    <w:rsid w:val="00431ED4"/>
    <w:rsid w:val="00434391"/>
    <w:rsid w:val="004400FD"/>
    <w:rsid w:val="00442F73"/>
    <w:rsid w:val="00443453"/>
    <w:rsid w:val="0044378F"/>
    <w:rsid w:val="004452DD"/>
    <w:rsid w:val="00445880"/>
    <w:rsid w:val="004466D1"/>
    <w:rsid w:val="004501B7"/>
    <w:rsid w:val="0045208E"/>
    <w:rsid w:val="00454B14"/>
    <w:rsid w:val="0045746A"/>
    <w:rsid w:val="00460AC2"/>
    <w:rsid w:val="0046282D"/>
    <w:rsid w:val="004670F5"/>
    <w:rsid w:val="00467F01"/>
    <w:rsid w:val="00470000"/>
    <w:rsid w:val="00470C2B"/>
    <w:rsid w:val="00471389"/>
    <w:rsid w:val="00473F00"/>
    <w:rsid w:val="00474042"/>
    <w:rsid w:val="004758EF"/>
    <w:rsid w:val="0048132B"/>
    <w:rsid w:val="004851A7"/>
    <w:rsid w:val="00486C1E"/>
    <w:rsid w:val="00487992"/>
    <w:rsid w:val="00492548"/>
    <w:rsid w:val="00492652"/>
    <w:rsid w:val="0049298B"/>
    <w:rsid w:val="00497FD0"/>
    <w:rsid w:val="004A0216"/>
    <w:rsid w:val="004A1C0F"/>
    <w:rsid w:val="004A473E"/>
    <w:rsid w:val="004A62ED"/>
    <w:rsid w:val="004B414F"/>
    <w:rsid w:val="004B480D"/>
    <w:rsid w:val="004C193F"/>
    <w:rsid w:val="004C27AA"/>
    <w:rsid w:val="004C3BA3"/>
    <w:rsid w:val="004C408F"/>
    <w:rsid w:val="004C650D"/>
    <w:rsid w:val="004C730E"/>
    <w:rsid w:val="004D28FE"/>
    <w:rsid w:val="004D3557"/>
    <w:rsid w:val="004D4744"/>
    <w:rsid w:val="004D4AEB"/>
    <w:rsid w:val="004D766E"/>
    <w:rsid w:val="004E1A8E"/>
    <w:rsid w:val="004E1BDB"/>
    <w:rsid w:val="004E1EFB"/>
    <w:rsid w:val="004E23D6"/>
    <w:rsid w:val="004E32F4"/>
    <w:rsid w:val="004E4F46"/>
    <w:rsid w:val="004F048A"/>
    <w:rsid w:val="004F22E9"/>
    <w:rsid w:val="004F2303"/>
    <w:rsid w:val="004F6431"/>
    <w:rsid w:val="004F67AF"/>
    <w:rsid w:val="004F6C09"/>
    <w:rsid w:val="004F71D1"/>
    <w:rsid w:val="004F7D73"/>
    <w:rsid w:val="005000AE"/>
    <w:rsid w:val="0050270D"/>
    <w:rsid w:val="00504C37"/>
    <w:rsid w:val="00504CF7"/>
    <w:rsid w:val="005061C1"/>
    <w:rsid w:val="00506D73"/>
    <w:rsid w:val="005138ED"/>
    <w:rsid w:val="00514B84"/>
    <w:rsid w:val="0052001D"/>
    <w:rsid w:val="005202A5"/>
    <w:rsid w:val="00521A8B"/>
    <w:rsid w:val="00521D4C"/>
    <w:rsid w:val="00523A19"/>
    <w:rsid w:val="0052561C"/>
    <w:rsid w:val="00526569"/>
    <w:rsid w:val="005269C5"/>
    <w:rsid w:val="0052760B"/>
    <w:rsid w:val="005276EA"/>
    <w:rsid w:val="00527A81"/>
    <w:rsid w:val="00527CC7"/>
    <w:rsid w:val="00530334"/>
    <w:rsid w:val="00531EA4"/>
    <w:rsid w:val="00534F0A"/>
    <w:rsid w:val="00540D20"/>
    <w:rsid w:val="00542AD2"/>
    <w:rsid w:val="005433D4"/>
    <w:rsid w:val="00544893"/>
    <w:rsid w:val="005449F9"/>
    <w:rsid w:val="0054611E"/>
    <w:rsid w:val="00552D90"/>
    <w:rsid w:val="00553695"/>
    <w:rsid w:val="00555010"/>
    <w:rsid w:val="00557AC4"/>
    <w:rsid w:val="00562E5B"/>
    <w:rsid w:val="0056544B"/>
    <w:rsid w:val="00565799"/>
    <w:rsid w:val="0057041D"/>
    <w:rsid w:val="00570B4B"/>
    <w:rsid w:val="0057285D"/>
    <w:rsid w:val="005749CA"/>
    <w:rsid w:val="00576596"/>
    <w:rsid w:val="00576864"/>
    <w:rsid w:val="00577EFF"/>
    <w:rsid w:val="005807BD"/>
    <w:rsid w:val="00580A8F"/>
    <w:rsid w:val="00583D70"/>
    <w:rsid w:val="00585BD3"/>
    <w:rsid w:val="00586A3C"/>
    <w:rsid w:val="00587EFA"/>
    <w:rsid w:val="0059495F"/>
    <w:rsid w:val="005A2D03"/>
    <w:rsid w:val="005A2D2F"/>
    <w:rsid w:val="005A2F52"/>
    <w:rsid w:val="005A31B1"/>
    <w:rsid w:val="005A32E1"/>
    <w:rsid w:val="005A741F"/>
    <w:rsid w:val="005B3B96"/>
    <w:rsid w:val="005B7326"/>
    <w:rsid w:val="005C0850"/>
    <w:rsid w:val="005C08EB"/>
    <w:rsid w:val="005C4772"/>
    <w:rsid w:val="005C617B"/>
    <w:rsid w:val="005D08C7"/>
    <w:rsid w:val="005D0CCA"/>
    <w:rsid w:val="005D544B"/>
    <w:rsid w:val="005E48A9"/>
    <w:rsid w:val="005E5B13"/>
    <w:rsid w:val="005F1EFE"/>
    <w:rsid w:val="005F4810"/>
    <w:rsid w:val="005F6325"/>
    <w:rsid w:val="00603AA5"/>
    <w:rsid w:val="00610B0C"/>
    <w:rsid w:val="00612908"/>
    <w:rsid w:val="00614A7B"/>
    <w:rsid w:val="00614F4C"/>
    <w:rsid w:val="006152B1"/>
    <w:rsid w:val="006172E3"/>
    <w:rsid w:val="00624D30"/>
    <w:rsid w:val="006265C5"/>
    <w:rsid w:val="00626E6D"/>
    <w:rsid w:val="0062727A"/>
    <w:rsid w:val="00630F3E"/>
    <w:rsid w:val="0063290C"/>
    <w:rsid w:val="00635A70"/>
    <w:rsid w:val="00641DF7"/>
    <w:rsid w:val="00645F40"/>
    <w:rsid w:val="006464DE"/>
    <w:rsid w:val="00652C0B"/>
    <w:rsid w:val="00654F84"/>
    <w:rsid w:val="00656BF8"/>
    <w:rsid w:val="006579EF"/>
    <w:rsid w:val="00663018"/>
    <w:rsid w:val="00664C0C"/>
    <w:rsid w:val="00665CE8"/>
    <w:rsid w:val="006803A7"/>
    <w:rsid w:val="00680BFC"/>
    <w:rsid w:val="00680EA9"/>
    <w:rsid w:val="0068150F"/>
    <w:rsid w:val="00681C97"/>
    <w:rsid w:val="00681DA3"/>
    <w:rsid w:val="00683EB1"/>
    <w:rsid w:val="006841BD"/>
    <w:rsid w:val="006869C1"/>
    <w:rsid w:val="00686BA3"/>
    <w:rsid w:val="00687122"/>
    <w:rsid w:val="00691E8B"/>
    <w:rsid w:val="00693426"/>
    <w:rsid w:val="006B0B4A"/>
    <w:rsid w:val="006B2E57"/>
    <w:rsid w:val="006B5300"/>
    <w:rsid w:val="006B5D20"/>
    <w:rsid w:val="006C04CA"/>
    <w:rsid w:val="006C1318"/>
    <w:rsid w:val="006C6598"/>
    <w:rsid w:val="006C669E"/>
    <w:rsid w:val="006C7AA7"/>
    <w:rsid w:val="006D0AD4"/>
    <w:rsid w:val="006D23D3"/>
    <w:rsid w:val="006D2C3C"/>
    <w:rsid w:val="006D3ACB"/>
    <w:rsid w:val="006D5720"/>
    <w:rsid w:val="006D646D"/>
    <w:rsid w:val="006D6746"/>
    <w:rsid w:val="006E1695"/>
    <w:rsid w:val="006E1C4A"/>
    <w:rsid w:val="006E3D05"/>
    <w:rsid w:val="006E4039"/>
    <w:rsid w:val="006E4BFE"/>
    <w:rsid w:val="006E7AD8"/>
    <w:rsid w:val="006F0D27"/>
    <w:rsid w:val="006F25C3"/>
    <w:rsid w:val="006F6528"/>
    <w:rsid w:val="006F7541"/>
    <w:rsid w:val="007050A3"/>
    <w:rsid w:val="00707995"/>
    <w:rsid w:val="007114B9"/>
    <w:rsid w:val="00711D46"/>
    <w:rsid w:val="00713C70"/>
    <w:rsid w:val="00717ED8"/>
    <w:rsid w:val="007217F2"/>
    <w:rsid w:val="00724886"/>
    <w:rsid w:val="00731A19"/>
    <w:rsid w:val="007323F7"/>
    <w:rsid w:val="00737A71"/>
    <w:rsid w:val="00740257"/>
    <w:rsid w:val="00740677"/>
    <w:rsid w:val="00740B56"/>
    <w:rsid w:val="00745ABA"/>
    <w:rsid w:val="00745EE2"/>
    <w:rsid w:val="00750238"/>
    <w:rsid w:val="00751151"/>
    <w:rsid w:val="0075120D"/>
    <w:rsid w:val="00755590"/>
    <w:rsid w:val="007576AF"/>
    <w:rsid w:val="0075777F"/>
    <w:rsid w:val="00761A73"/>
    <w:rsid w:val="00763FBF"/>
    <w:rsid w:val="007677C5"/>
    <w:rsid w:val="0077185C"/>
    <w:rsid w:val="00775FFD"/>
    <w:rsid w:val="007763E8"/>
    <w:rsid w:val="007802B6"/>
    <w:rsid w:val="007855DC"/>
    <w:rsid w:val="00787713"/>
    <w:rsid w:val="00793220"/>
    <w:rsid w:val="00793FF5"/>
    <w:rsid w:val="00796542"/>
    <w:rsid w:val="0079717E"/>
    <w:rsid w:val="007A30F3"/>
    <w:rsid w:val="007A37F5"/>
    <w:rsid w:val="007A45C6"/>
    <w:rsid w:val="007A5A59"/>
    <w:rsid w:val="007A6122"/>
    <w:rsid w:val="007B1502"/>
    <w:rsid w:val="007B19D4"/>
    <w:rsid w:val="007B4F2E"/>
    <w:rsid w:val="007B559F"/>
    <w:rsid w:val="007B74B1"/>
    <w:rsid w:val="007B7759"/>
    <w:rsid w:val="007C12FE"/>
    <w:rsid w:val="007C1965"/>
    <w:rsid w:val="007C2261"/>
    <w:rsid w:val="007C4BAA"/>
    <w:rsid w:val="007C664E"/>
    <w:rsid w:val="007D2399"/>
    <w:rsid w:val="007D479B"/>
    <w:rsid w:val="007D7C8A"/>
    <w:rsid w:val="007E21C3"/>
    <w:rsid w:val="007E2417"/>
    <w:rsid w:val="007E31D1"/>
    <w:rsid w:val="007F126A"/>
    <w:rsid w:val="007F2CA2"/>
    <w:rsid w:val="007F3FEE"/>
    <w:rsid w:val="007F42D7"/>
    <w:rsid w:val="008021C3"/>
    <w:rsid w:val="00805779"/>
    <w:rsid w:val="008145BB"/>
    <w:rsid w:val="00815453"/>
    <w:rsid w:val="00817657"/>
    <w:rsid w:val="00822BA5"/>
    <w:rsid w:val="00825A51"/>
    <w:rsid w:val="00825BD2"/>
    <w:rsid w:val="00827E4E"/>
    <w:rsid w:val="00830B3A"/>
    <w:rsid w:val="00833B54"/>
    <w:rsid w:val="00836C5B"/>
    <w:rsid w:val="008406E3"/>
    <w:rsid w:val="008460BA"/>
    <w:rsid w:val="008463AB"/>
    <w:rsid w:val="00850A25"/>
    <w:rsid w:val="0085174C"/>
    <w:rsid w:val="008558D9"/>
    <w:rsid w:val="008649BD"/>
    <w:rsid w:val="0086519B"/>
    <w:rsid w:val="008668E6"/>
    <w:rsid w:val="0086794E"/>
    <w:rsid w:val="008702DB"/>
    <w:rsid w:val="00870773"/>
    <w:rsid w:val="008711BA"/>
    <w:rsid w:val="00884D95"/>
    <w:rsid w:val="00891AF5"/>
    <w:rsid w:val="0089574B"/>
    <w:rsid w:val="00895F74"/>
    <w:rsid w:val="008A301A"/>
    <w:rsid w:val="008A5756"/>
    <w:rsid w:val="008B0A4E"/>
    <w:rsid w:val="008B5D1B"/>
    <w:rsid w:val="008B6900"/>
    <w:rsid w:val="008C1BE5"/>
    <w:rsid w:val="008C224A"/>
    <w:rsid w:val="008C5533"/>
    <w:rsid w:val="008C570C"/>
    <w:rsid w:val="008C7C41"/>
    <w:rsid w:val="008D0129"/>
    <w:rsid w:val="008D05CA"/>
    <w:rsid w:val="008D11F3"/>
    <w:rsid w:val="008D2D04"/>
    <w:rsid w:val="008D46AB"/>
    <w:rsid w:val="008D6F29"/>
    <w:rsid w:val="008D7023"/>
    <w:rsid w:val="008E116C"/>
    <w:rsid w:val="008F5992"/>
    <w:rsid w:val="008F7B0C"/>
    <w:rsid w:val="00902454"/>
    <w:rsid w:val="0090247E"/>
    <w:rsid w:val="00906217"/>
    <w:rsid w:val="00912510"/>
    <w:rsid w:val="00912904"/>
    <w:rsid w:val="00913092"/>
    <w:rsid w:val="00914ADD"/>
    <w:rsid w:val="00922B59"/>
    <w:rsid w:val="009232BD"/>
    <w:rsid w:val="009244D6"/>
    <w:rsid w:val="00925CBC"/>
    <w:rsid w:val="009277B0"/>
    <w:rsid w:val="00931829"/>
    <w:rsid w:val="0093283A"/>
    <w:rsid w:val="00933D87"/>
    <w:rsid w:val="009344B7"/>
    <w:rsid w:val="00935922"/>
    <w:rsid w:val="00941B0E"/>
    <w:rsid w:val="00942812"/>
    <w:rsid w:val="00943660"/>
    <w:rsid w:val="00944BEB"/>
    <w:rsid w:val="00944D58"/>
    <w:rsid w:val="00951C95"/>
    <w:rsid w:val="009557F2"/>
    <w:rsid w:val="009562BD"/>
    <w:rsid w:val="0095633B"/>
    <w:rsid w:val="009606AE"/>
    <w:rsid w:val="00962D05"/>
    <w:rsid w:val="00962DA8"/>
    <w:rsid w:val="00963BA0"/>
    <w:rsid w:val="0096419C"/>
    <w:rsid w:val="00967129"/>
    <w:rsid w:val="0096772A"/>
    <w:rsid w:val="00967868"/>
    <w:rsid w:val="00971AC7"/>
    <w:rsid w:val="00975117"/>
    <w:rsid w:val="0097543D"/>
    <w:rsid w:val="0097621E"/>
    <w:rsid w:val="00982CBA"/>
    <w:rsid w:val="0098493C"/>
    <w:rsid w:val="00987F50"/>
    <w:rsid w:val="00990284"/>
    <w:rsid w:val="00992CCC"/>
    <w:rsid w:val="00992FBB"/>
    <w:rsid w:val="009931C9"/>
    <w:rsid w:val="00996D05"/>
    <w:rsid w:val="00996FED"/>
    <w:rsid w:val="009A63A0"/>
    <w:rsid w:val="009B40C1"/>
    <w:rsid w:val="009B5C70"/>
    <w:rsid w:val="009B5F68"/>
    <w:rsid w:val="009B6E62"/>
    <w:rsid w:val="009C3CF7"/>
    <w:rsid w:val="009D0491"/>
    <w:rsid w:val="009D11F4"/>
    <w:rsid w:val="009D2049"/>
    <w:rsid w:val="009E21EE"/>
    <w:rsid w:val="009E22C5"/>
    <w:rsid w:val="009E3016"/>
    <w:rsid w:val="009F025E"/>
    <w:rsid w:val="00A000C4"/>
    <w:rsid w:val="00A03148"/>
    <w:rsid w:val="00A15568"/>
    <w:rsid w:val="00A176EE"/>
    <w:rsid w:val="00A20BC3"/>
    <w:rsid w:val="00A2429F"/>
    <w:rsid w:val="00A24CE2"/>
    <w:rsid w:val="00A26135"/>
    <w:rsid w:val="00A268E1"/>
    <w:rsid w:val="00A26E87"/>
    <w:rsid w:val="00A276AA"/>
    <w:rsid w:val="00A43251"/>
    <w:rsid w:val="00A435FF"/>
    <w:rsid w:val="00A43D01"/>
    <w:rsid w:val="00A440E5"/>
    <w:rsid w:val="00A46911"/>
    <w:rsid w:val="00A46A93"/>
    <w:rsid w:val="00A507CF"/>
    <w:rsid w:val="00A5083E"/>
    <w:rsid w:val="00A50D63"/>
    <w:rsid w:val="00A51466"/>
    <w:rsid w:val="00A530D9"/>
    <w:rsid w:val="00A53928"/>
    <w:rsid w:val="00A604B1"/>
    <w:rsid w:val="00A61831"/>
    <w:rsid w:val="00A6395A"/>
    <w:rsid w:val="00A64487"/>
    <w:rsid w:val="00A647B4"/>
    <w:rsid w:val="00A6637E"/>
    <w:rsid w:val="00A67600"/>
    <w:rsid w:val="00A71B21"/>
    <w:rsid w:val="00A84C9B"/>
    <w:rsid w:val="00AB2E55"/>
    <w:rsid w:val="00AC1674"/>
    <w:rsid w:val="00AC4D4A"/>
    <w:rsid w:val="00AC642C"/>
    <w:rsid w:val="00AD1B50"/>
    <w:rsid w:val="00AD1C52"/>
    <w:rsid w:val="00AE19A0"/>
    <w:rsid w:val="00AE293B"/>
    <w:rsid w:val="00AE2955"/>
    <w:rsid w:val="00AE353C"/>
    <w:rsid w:val="00AE3EC2"/>
    <w:rsid w:val="00AE4A45"/>
    <w:rsid w:val="00AE575D"/>
    <w:rsid w:val="00AF2125"/>
    <w:rsid w:val="00AF2FA4"/>
    <w:rsid w:val="00AF3622"/>
    <w:rsid w:val="00AF52C1"/>
    <w:rsid w:val="00AF6CA7"/>
    <w:rsid w:val="00B01901"/>
    <w:rsid w:val="00B03D8C"/>
    <w:rsid w:val="00B06791"/>
    <w:rsid w:val="00B07DD2"/>
    <w:rsid w:val="00B108EA"/>
    <w:rsid w:val="00B1279E"/>
    <w:rsid w:val="00B14EDF"/>
    <w:rsid w:val="00B16B57"/>
    <w:rsid w:val="00B22609"/>
    <w:rsid w:val="00B311BC"/>
    <w:rsid w:val="00B3143D"/>
    <w:rsid w:val="00B31552"/>
    <w:rsid w:val="00B31A01"/>
    <w:rsid w:val="00B32267"/>
    <w:rsid w:val="00B335D0"/>
    <w:rsid w:val="00B33BA5"/>
    <w:rsid w:val="00B36852"/>
    <w:rsid w:val="00B37997"/>
    <w:rsid w:val="00B41E8D"/>
    <w:rsid w:val="00B43D6C"/>
    <w:rsid w:val="00B45276"/>
    <w:rsid w:val="00B45725"/>
    <w:rsid w:val="00B47608"/>
    <w:rsid w:val="00B47909"/>
    <w:rsid w:val="00B522D4"/>
    <w:rsid w:val="00B536A1"/>
    <w:rsid w:val="00B54287"/>
    <w:rsid w:val="00B5664C"/>
    <w:rsid w:val="00B56A9B"/>
    <w:rsid w:val="00B57040"/>
    <w:rsid w:val="00B57584"/>
    <w:rsid w:val="00B600CE"/>
    <w:rsid w:val="00B60338"/>
    <w:rsid w:val="00B60E29"/>
    <w:rsid w:val="00B62BB0"/>
    <w:rsid w:val="00B64609"/>
    <w:rsid w:val="00B75A1C"/>
    <w:rsid w:val="00B761D7"/>
    <w:rsid w:val="00B82E44"/>
    <w:rsid w:val="00B84253"/>
    <w:rsid w:val="00B85857"/>
    <w:rsid w:val="00B8655C"/>
    <w:rsid w:val="00B90583"/>
    <w:rsid w:val="00B925AE"/>
    <w:rsid w:val="00B92C64"/>
    <w:rsid w:val="00B9671D"/>
    <w:rsid w:val="00BA642F"/>
    <w:rsid w:val="00BB2E78"/>
    <w:rsid w:val="00BB393B"/>
    <w:rsid w:val="00BB446E"/>
    <w:rsid w:val="00BB4496"/>
    <w:rsid w:val="00BB5FFD"/>
    <w:rsid w:val="00BB6547"/>
    <w:rsid w:val="00BB7602"/>
    <w:rsid w:val="00BC7FE8"/>
    <w:rsid w:val="00BD33A0"/>
    <w:rsid w:val="00BD63AE"/>
    <w:rsid w:val="00BD684A"/>
    <w:rsid w:val="00BE1E5B"/>
    <w:rsid w:val="00BE36DE"/>
    <w:rsid w:val="00BE48B2"/>
    <w:rsid w:val="00BE6ECB"/>
    <w:rsid w:val="00BE73D0"/>
    <w:rsid w:val="00BF0695"/>
    <w:rsid w:val="00BF2ACC"/>
    <w:rsid w:val="00BF5105"/>
    <w:rsid w:val="00BF77AF"/>
    <w:rsid w:val="00C0737F"/>
    <w:rsid w:val="00C073A3"/>
    <w:rsid w:val="00C07422"/>
    <w:rsid w:val="00C10F24"/>
    <w:rsid w:val="00C11225"/>
    <w:rsid w:val="00C119A2"/>
    <w:rsid w:val="00C11FFF"/>
    <w:rsid w:val="00C132D4"/>
    <w:rsid w:val="00C14485"/>
    <w:rsid w:val="00C14F7B"/>
    <w:rsid w:val="00C1632D"/>
    <w:rsid w:val="00C21939"/>
    <w:rsid w:val="00C22649"/>
    <w:rsid w:val="00C2420B"/>
    <w:rsid w:val="00C261A3"/>
    <w:rsid w:val="00C26545"/>
    <w:rsid w:val="00C26E89"/>
    <w:rsid w:val="00C373A8"/>
    <w:rsid w:val="00C4090C"/>
    <w:rsid w:val="00C410B3"/>
    <w:rsid w:val="00C43136"/>
    <w:rsid w:val="00C43FB6"/>
    <w:rsid w:val="00C447D9"/>
    <w:rsid w:val="00C46270"/>
    <w:rsid w:val="00C50073"/>
    <w:rsid w:val="00C5164B"/>
    <w:rsid w:val="00C52743"/>
    <w:rsid w:val="00C5561F"/>
    <w:rsid w:val="00C61346"/>
    <w:rsid w:val="00C637E2"/>
    <w:rsid w:val="00C64D18"/>
    <w:rsid w:val="00C70061"/>
    <w:rsid w:val="00C72F16"/>
    <w:rsid w:val="00C74012"/>
    <w:rsid w:val="00C74703"/>
    <w:rsid w:val="00C7755D"/>
    <w:rsid w:val="00C777D5"/>
    <w:rsid w:val="00C818FA"/>
    <w:rsid w:val="00C8372F"/>
    <w:rsid w:val="00C90DDD"/>
    <w:rsid w:val="00C9187F"/>
    <w:rsid w:val="00C92D97"/>
    <w:rsid w:val="00C97E46"/>
    <w:rsid w:val="00CA03BC"/>
    <w:rsid w:val="00CA07EB"/>
    <w:rsid w:val="00CA2AEB"/>
    <w:rsid w:val="00CA4B68"/>
    <w:rsid w:val="00CA67EC"/>
    <w:rsid w:val="00CA6988"/>
    <w:rsid w:val="00CA69C0"/>
    <w:rsid w:val="00CA6ACA"/>
    <w:rsid w:val="00CA756A"/>
    <w:rsid w:val="00CB2183"/>
    <w:rsid w:val="00CB5BF1"/>
    <w:rsid w:val="00CB7AE9"/>
    <w:rsid w:val="00CC12A8"/>
    <w:rsid w:val="00CC18F3"/>
    <w:rsid w:val="00CD1E0B"/>
    <w:rsid w:val="00CD263D"/>
    <w:rsid w:val="00CD2B1F"/>
    <w:rsid w:val="00CD5873"/>
    <w:rsid w:val="00CD636C"/>
    <w:rsid w:val="00CD64F7"/>
    <w:rsid w:val="00CD7419"/>
    <w:rsid w:val="00CE3B09"/>
    <w:rsid w:val="00CE5262"/>
    <w:rsid w:val="00CE7642"/>
    <w:rsid w:val="00CF00A3"/>
    <w:rsid w:val="00CF07CD"/>
    <w:rsid w:val="00CF0C37"/>
    <w:rsid w:val="00CF1E9A"/>
    <w:rsid w:val="00CF6635"/>
    <w:rsid w:val="00D00BE8"/>
    <w:rsid w:val="00D02F15"/>
    <w:rsid w:val="00D036CD"/>
    <w:rsid w:val="00D05F1B"/>
    <w:rsid w:val="00D0703E"/>
    <w:rsid w:val="00D14CD1"/>
    <w:rsid w:val="00D2165F"/>
    <w:rsid w:val="00D21728"/>
    <w:rsid w:val="00D22F6E"/>
    <w:rsid w:val="00D23241"/>
    <w:rsid w:val="00D31B56"/>
    <w:rsid w:val="00D32566"/>
    <w:rsid w:val="00D332FE"/>
    <w:rsid w:val="00D415B0"/>
    <w:rsid w:val="00D42FA3"/>
    <w:rsid w:val="00D45FB6"/>
    <w:rsid w:val="00D467A3"/>
    <w:rsid w:val="00D467FF"/>
    <w:rsid w:val="00D51136"/>
    <w:rsid w:val="00D53470"/>
    <w:rsid w:val="00D53514"/>
    <w:rsid w:val="00D537FD"/>
    <w:rsid w:val="00D53F4D"/>
    <w:rsid w:val="00D54217"/>
    <w:rsid w:val="00D56427"/>
    <w:rsid w:val="00D56F26"/>
    <w:rsid w:val="00D57584"/>
    <w:rsid w:val="00D6224B"/>
    <w:rsid w:val="00D65E08"/>
    <w:rsid w:val="00D662DD"/>
    <w:rsid w:val="00D67D05"/>
    <w:rsid w:val="00D73AE9"/>
    <w:rsid w:val="00D77434"/>
    <w:rsid w:val="00D77491"/>
    <w:rsid w:val="00D77E0A"/>
    <w:rsid w:val="00D806C1"/>
    <w:rsid w:val="00D8159E"/>
    <w:rsid w:val="00D81AAB"/>
    <w:rsid w:val="00D82B88"/>
    <w:rsid w:val="00D84962"/>
    <w:rsid w:val="00D94803"/>
    <w:rsid w:val="00D95A19"/>
    <w:rsid w:val="00D968F2"/>
    <w:rsid w:val="00DA17B4"/>
    <w:rsid w:val="00DA18A1"/>
    <w:rsid w:val="00DA3088"/>
    <w:rsid w:val="00DA3CE7"/>
    <w:rsid w:val="00DA5E37"/>
    <w:rsid w:val="00DA6AD0"/>
    <w:rsid w:val="00DB1DF5"/>
    <w:rsid w:val="00DB2EDF"/>
    <w:rsid w:val="00DB397F"/>
    <w:rsid w:val="00DC3D0D"/>
    <w:rsid w:val="00DC6856"/>
    <w:rsid w:val="00DD2964"/>
    <w:rsid w:val="00DD3C38"/>
    <w:rsid w:val="00DD6A4E"/>
    <w:rsid w:val="00DE0217"/>
    <w:rsid w:val="00DE1354"/>
    <w:rsid w:val="00DE20AB"/>
    <w:rsid w:val="00DE31A7"/>
    <w:rsid w:val="00DE481D"/>
    <w:rsid w:val="00DE5BE5"/>
    <w:rsid w:val="00DE63B1"/>
    <w:rsid w:val="00DE73E0"/>
    <w:rsid w:val="00DF0A88"/>
    <w:rsid w:val="00DF0AF5"/>
    <w:rsid w:val="00DF14CF"/>
    <w:rsid w:val="00DF1937"/>
    <w:rsid w:val="00DF39B7"/>
    <w:rsid w:val="00DF5AC1"/>
    <w:rsid w:val="00E00CB0"/>
    <w:rsid w:val="00E013A7"/>
    <w:rsid w:val="00E01C45"/>
    <w:rsid w:val="00E03DC8"/>
    <w:rsid w:val="00E03E90"/>
    <w:rsid w:val="00E046FD"/>
    <w:rsid w:val="00E04EEB"/>
    <w:rsid w:val="00E05535"/>
    <w:rsid w:val="00E05A87"/>
    <w:rsid w:val="00E05BD0"/>
    <w:rsid w:val="00E060CB"/>
    <w:rsid w:val="00E10407"/>
    <w:rsid w:val="00E11034"/>
    <w:rsid w:val="00E11C86"/>
    <w:rsid w:val="00E13DCF"/>
    <w:rsid w:val="00E16F89"/>
    <w:rsid w:val="00E175F6"/>
    <w:rsid w:val="00E21007"/>
    <w:rsid w:val="00E220F4"/>
    <w:rsid w:val="00E22A8E"/>
    <w:rsid w:val="00E237CC"/>
    <w:rsid w:val="00E24F71"/>
    <w:rsid w:val="00E251E8"/>
    <w:rsid w:val="00E30E56"/>
    <w:rsid w:val="00E3190B"/>
    <w:rsid w:val="00E33126"/>
    <w:rsid w:val="00E34C3D"/>
    <w:rsid w:val="00E36B1D"/>
    <w:rsid w:val="00E4495B"/>
    <w:rsid w:val="00E454D4"/>
    <w:rsid w:val="00E47139"/>
    <w:rsid w:val="00E5021C"/>
    <w:rsid w:val="00E528FB"/>
    <w:rsid w:val="00E5393C"/>
    <w:rsid w:val="00E54D8A"/>
    <w:rsid w:val="00E5738E"/>
    <w:rsid w:val="00E5788A"/>
    <w:rsid w:val="00E6112A"/>
    <w:rsid w:val="00E63914"/>
    <w:rsid w:val="00E6638D"/>
    <w:rsid w:val="00E670AF"/>
    <w:rsid w:val="00E754C9"/>
    <w:rsid w:val="00E76A54"/>
    <w:rsid w:val="00E7761E"/>
    <w:rsid w:val="00E80CA6"/>
    <w:rsid w:val="00E83506"/>
    <w:rsid w:val="00E871E7"/>
    <w:rsid w:val="00E87358"/>
    <w:rsid w:val="00E92467"/>
    <w:rsid w:val="00EA1755"/>
    <w:rsid w:val="00EA250D"/>
    <w:rsid w:val="00EA2793"/>
    <w:rsid w:val="00EA4587"/>
    <w:rsid w:val="00EA613B"/>
    <w:rsid w:val="00EA6F05"/>
    <w:rsid w:val="00EA7E4A"/>
    <w:rsid w:val="00EB14C9"/>
    <w:rsid w:val="00EB4BA4"/>
    <w:rsid w:val="00EC241B"/>
    <w:rsid w:val="00EC3713"/>
    <w:rsid w:val="00EC4FAC"/>
    <w:rsid w:val="00ED21EB"/>
    <w:rsid w:val="00ED2F6B"/>
    <w:rsid w:val="00ED4878"/>
    <w:rsid w:val="00ED67F2"/>
    <w:rsid w:val="00ED68B8"/>
    <w:rsid w:val="00EE5C76"/>
    <w:rsid w:val="00EE7536"/>
    <w:rsid w:val="00EE7F20"/>
    <w:rsid w:val="00EF6F8D"/>
    <w:rsid w:val="00EF7B82"/>
    <w:rsid w:val="00F00F27"/>
    <w:rsid w:val="00F01ACB"/>
    <w:rsid w:val="00F04AEE"/>
    <w:rsid w:val="00F14B9C"/>
    <w:rsid w:val="00F21B1A"/>
    <w:rsid w:val="00F277CC"/>
    <w:rsid w:val="00F3056E"/>
    <w:rsid w:val="00F32713"/>
    <w:rsid w:val="00F41037"/>
    <w:rsid w:val="00F413BE"/>
    <w:rsid w:val="00F4319F"/>
    <w:rsid w:val="00F43E6C"/>
    <w:rsid w:val="00F50646"/>
    <w:rsid w:val="00F54BEE"/>
    <w:rsid w:val="00F54CCB"/>
    <w:rsid w:val="00F5554E"/>
    <w:rsid w:val="00F60691"/>
    <w:rsid w:val="00F618B0"/>
    <w:rsid w:val="00F63F31"/>
    <w:rsid w:val="00F662F5"/>
    <w:rsid w:val="00F66DCA"/>
    <w:rsid w:val="00F67BF6"/>
    <w:rsid w:val="00F710BF"/>
    <w:rsid w:val="00F7546D"/>
    <w:rsid w:val="00F77362"/>
    <w:rsid w:val="00F77E98"/>
    <w:rsid w:val="00F832B0"/>
    <w:rsid w:val="00F8377B"/>
    <w:rsid w:val="00F84C4E"/>
    <w:rsid w:val="00F85C6A"/>
    <w:rsid w:val="00F867B3"/>
    <w:rsid w:val="00F92801"/>
    <w:rsid w:val="00F95BD9"/>
    <w:rsid w:val="00FA073F"/>
    <w:rsid w:val="00FA0E05"/>
    <w:rsid w:val="00FA52AB"/>
    <w:rsid w:val="00FA538C"/>
    <w:rsid w:val="00FA780E"/>
    <w:rsid w:val="00FA7827"/>
    <w:rsid w:val="00FB27EB"/>
    <w:rsid w:val="00FB377E"/>
    <w:rsid w:val="00FC2621"/>
    <w:rsid w:val="00FC314A"/>
    <w:rsid w:val="00FC3F88"/>
    <w:rsid w:val="00FC500E"/>
    <w:rsid w:val="00FC5A94"/>
    <w:rsid w:val="00FC5EC1"/>
    <w:rsid w:val="00FC78F5"/>
    <w:rsid w:val="00FD1159"/>
    <w:rsid w:val="00FD1A2E"/>
    <w:rsid w:val="00FD684A"/>
    <w:rsid w:val="00FD7EA8"/>
    <w:rsid w:val="00FE0A1B"/>
    <w:rsid w:val="00FE500B"/>
    <w:rsid w:val="00FE541E"/>
    <w:rsid w:val="00FE6CAA"/>
    <w:rsid w:val="00FF0D1B"/>
    <w:rsid w:val="00FF109A"/>
    <w:rsid w:val="00FF1BF9"/>
    <w:rsid w:val="00FF637B"/>
    <w:rsid w:val="01E844BF"/>
    <w:rsid w:val="02681AF4"/>
    <w:rsid w:val="038B1487"/>
    <w:rsid w:val="05A52CD4"/>
    <w:rsid w:val="063905E0"/>
    <w:rsid w:val="07406656"/>
    <w:rsid w:val="08BA6F2F"/>
    <w:rsid w:val="090E6DE2"/>
    <w:rsid w:val="096E7B3C"/>
    <w:rsid w:val="0B093D05"/>
    <w:rsid w:val="0C4D7C21"/>
    <w:rsid w:val="110411F6"/>
    <w:rsid w:val="11A463B0"/>
    <w:rsid w:val="1218482D"/>
    <w:rsid w:val="154D47EE"/>
    <w:rsid w:val="1816180F"/>
    <w:rsid w:val="19C66DAC"/>
    <w:rsid w:val="1C534DE0"/>
    <w:rsid w:val="1EB53B30"/>
    <w:rsid w:val="1ECE699F"/>
    <w:rsid w:val="1FD20711"/>
    <w:rsid w:val="21083239"/>
    <w:rsid w:val="211C7E96"/>
    <w:rsid w:val="22460F43"/>
    <w:rsid w:val="236B0C61"/>
    <w:rsid w:val="23AE0B4E"/>
    <w:rsid w:val="2584600A"/>
    <w:rsid w:val="26B07675"/>
    <w:rsid w:val="27F136FF"/>
    <w:rsid w:val="27F531EF"/>
    <w:rsid w:val="27F61BF5"/>
    <w:rsid w:val="28C26ED3"/>
    <w:rsid w:val="2A2B70EC"/>
    <w:rsid w:val="2ACD5421"/>
    <w:rsid w:val="2B934EC9"/>
    <w:rsid w:val="2DCC3D83"/>
    <w:rsid w:val="30FD00B6"/>
    <w:rsid w:val="31045978"/>
    <w:rsid w:val="31FC517A"/>
    <w:rsid w:val="33B60E04"/>
    <w:rsid w:val="359E4EC6"/>
    <w:rsid w:val="38414501"/>
    <w:rsid w:val="38C509BB"/>
    <w:rsid w:val="3A9F3FA1"/>
    <w:rsid w:val="402443E7"/>
    <w:rsid w:val="408B24EB"/>
    <w:rsid w:val="40A47108"/>
    <w:rsid w:val="421757FD"/>
    <w:rsid w:val="4780267D"/>
    <w:rsid w:val="48FE3445"/>
    <w:rsid w:val="4A2117CA"/>
    <w:rsid w:val="4A4F4589"/>
    <w:rsid w:val="4B1503EE"/>
    <w:rsid w:val="4C516396"/>
    <w:rsid w:val="4D602B66"/>
    <w:rsid w:val="4E1C4DC2"/>
    <w:rsid w:val="4E4B41BF"/>
    <w:rsid w:val="4EE334F2"/>
    <w:rsid w:val="4F626B0C"/>
    <w:rsid w:val="51B00C10"/>
    <w:rsid w:val="525C03D0"/>
    <w:rsid w:val="55747599"/>
    <w:rsid w:val="559F4616"/>
    <w:rsid w:val="56CE6835"/>
    <w:rsid w:val="57601B83"/>
    <w:rsid w:val="583F6E74"/>
    <w:rsid w:val="5A081827"/>
    <w:rsid w:val="5A70032F"/>
    <w:rsid w:val="5DA64068"/>
    <w:rsid w:val="5EC22555"/>
    <w:rsid w:val="5F5A7800"/>
    <w:rsid w:val="607E12CC"/>
    <w:rsid w:val="60820DBC"/>
    <w:rsid w:val="652A557F"/>
    <w:rsid w:val="66DF7755"/>
    <w:rsid w:val="69413198"/>
    <w:rsid w:val="69C935B8"/>
    <w:rsid w:val="6A6D6639"/>
    <w:rsid w:val="6D321474"/>
    <w:rsid w:val="6FDE58E3"/>
    <w:rsid w:val="71D84CE0"/>
    <w:rsid w:val="72A018DC"/>
    <w:rsid w:val="730E64E0"/>
    <w:rsid w:val="73467A28"/>
    <w:rsid w:val="77FC20BF"/>
    <w:rsid w:val="78AF42C1"/>
    <w:rsid w:val="78E8332F"/>
    <w:rsid w:val="798D1A0A"/>
    <w:rsid w:val="79FF6B82"/>
    <w:rsid w:val="7B2F27C2"/>
    <w:rsid w:val="7B346CFF"/>
    <w:rsid w:val="7BB74DD2"/>
    <w:rsid w:val="7C1F350C"/>
    <w:rsid w:val="7CBF73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autoRedefine/>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Document Map"/>
    <w:basedOn w:val="1"/>
    <w:link w:val="15"/>
    <w:autoRedefine/>
    <w:semiHidden/>
    <w:unhideWhenUsed/>
    <w:qFormat/>
    <w:uiPriority w:val="99"/>
    <w:rPr>
      <w:rFonts w:ascii="宋体" w:eastAsia="宋体"/>
      <w:sz w:val="18"/>
      <w:szCs w:val="18"/>
    </w:rPr>
  </w:style>
  <w:style w:type="paragraph" w:styleId="5">
    <w:name w:val="Body Text"/>
    <w:basedOn w:val="1"/>
    <w:link w:val="16"/>
    <w:autoRedefine/>
    <w:semiHidden/>
    <w:unhideWhenUsed/>
    <w:qFormat/>
    <w:uiPriority w:val="99"/>
    <w:pPr>
      <w:spacing w:after="120"/>
    </w:pPr>
  </w:style>
  <w:style w:type="paragraph" w:styleId="6">
    <w:name w:val="Balloon Text"/>
    <w:basedOn w:val="1"/>
    <w:link w:val="26"/>
    <w:autoRedefine/>
    <w:semiHidden/>
    <w:unhideWhenUsed/>
    <w:qFormat/>
    <w:uiPriority w:val="99"/>
    <w:rPr>
      <w:sz w:val="18"/>
      <w:szCs w:val="18"/>
    </w:rPr>
  </w:style>
  <w:style w:type="paragraph" w:styleId="7">
    <w:name w:val="footer"/>
    <w:basedOn w:val="1"/>
    <w:link w:val="14"/>
    <w:autoRedefine/>
    <w:unhideWhenUsed/>
    <w:qFormat/>
    <w:uiPriority w:val="99"/>
    <w:pPr>
      <w:tabs>
        <w:tab w:val="center" w:pos="4153"/>
        <w:tab w:val="right" w:pos="8306"/>
      </w:tabs>
      <w:snapToGrid w:val="0"/>
      <w:jc w:val="left"/>
    </w:pPr>
    <w:rPr>
      <w:sz w:val="18"/>
      <w:szCs w:val="18"/>
    </w:rPr>
  </w:style>
  <w:style w:type="paragraph" w:styleId="8">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First Indent"/>
    <w:basedOn w:val="1"/>
    <w:link w:val="17"/>
    <w:autoRedefine/>
    <w:qFormat/>
    <w:uiPriority w:val="0"/>
    <w:pPr>
      <w:adjustRightInd w:val="0"/>
      <w:snapToGrid w:val="0"/>
      <w:spacing w:line="560" w:lineRule="exact"/>
      <w:ind w:firstLine="200" w:firstLineChars="200"/>
    </w:pPr>
    <w:rPr>
      <w:rFonts w:ascii="Times New Roman" w:hAnsi="Times New Roman" w:eastAsia="仿宋_GB2312" w:cs="Times New Roman"/>
      <w:kern w:val="0"/>
      <w:sz w:val="32"/>
      <w:szCs w:val="28"/>
    </w:rPr>
  </w:style>
  <w:style w:type="table" w:styleId="11">
    <w:name w:val="Table Grid"/>
    <w:basedOn w:val="1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3">
    <w:name w:val="List Paragraph"/>
    <w:basedOn w:val="1"/>
    <w:autoRedefine/>
    <w:qFormat/>
    <w:uiPriority w:val="34"/>
    <w:pPr>
      <w:ind w:firstLine="420" w:firstLineChars="200"/>
    </w:pPr>
  </w:style>
  <w:style w:type="character" w:customStyle="1" w:styleId="14">
    <w:name w:val="页脚 Char"/>
    <w:basedOn w:val="12"/>
    <w:link w:val="7"/>
    <w:autoRedefine/>
    <w:qFormat/>
    <w:uiPriority w:val="99"/>
    <w:rPr>
      <w:sz w:val="18"/>
      <w:szCs w:val="18"/>
    </w:rPr>
  </w:style>
  <w:style w:type="character" w:customStyle="1" w:styleId="15">
    <w:name w:val="文档结构图 Char"/>
    <w:basedOn w:val="12"/>
    <w:link w:val="4"/>
    <w:autoRedefine/>
    <w:semiHidden/>
    <w:qFormat/>
    <w:uiPriority w:val="99"/>
    <w:rPr>
      <w:rFonts w:ascii="宋体" w:eastAsia="宋体"/>
      <w:sz w:val="18"/>
      <w:szCs w:val="18"/>
    </w:rPr>
  </w:style>
  <w:style w:type="character" w:customStyle="1" w:styleId="16">
    <w:name w:val="正文文本 Char"/>
    <w:basedOn w:val="12"/>
    <w:link w:val="5"/>
    <w:autoRedefine/>
    <w:semiHidden/>
    <w:qFormat/>
    <w:uiPriority w:val="99"/>
  </w:style>
  <w:style w:type="character" w:customStyle="1" w:styleId="17">
    <w:name w:val="正文首行缩进 Char"/>
    <w:basedOn w:val="16"/>
    <w:link w:val="9"/>
    <w:autoRedefine/>
    <w:qFormat/>
    <w:uiPriority w:val="0"/>
    <w:rPr>
      <w:rFonts w:ascii="Times New Roman" w:hAnsi="Times New Roman" w:eastAsia="仿宋_GB2312" w:cs="Times New Roman"/>
      <w:kern w:val="0"/>
      <w:sz w:val="32"/>
      <w:szCs w:val="28"/>
    </w:rPr>
  </w:style>
  <w:style w:type="character" w:customStyle="1" w:styleId="18">
    <w:name w:val="页眉 Char"/>
    <w:basedOn w:val="12"/>
    <w:link w:val="8"/>
    <w:autoRedefine/>
    <w:qFormat/>
    <w:uiPriority w:val="99"/>
    <w:rPr>
      <w:sz w:val="18"/>
      <w:szCs w:val="18"/>
    </w:rPr>
  </w:style>
  <w:style w:type="character" w:customStyle="1" w:styleId="19">
    <w:name w:val="段 Char"/>
    <w:link w:val="20"/>
    <w:autoRedefine/>
    <w:qFormat/>
    <w:uiPriority w:val="0"/>
    <w:rPr>
      <w:rFonts w:ascii="宋体"/>
    </w:rPr>
  </w:style>
  <w:style w:type="paragraph" w:customStyle="1" w:styleId="20">
    <w:name w:val="段"/>
    <w:link w:val="19"/>
    <w:autoRedefine/>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21">
    <w:name w:val="标题 2 Char"/>
    <w:basedOn w:val="12"/>
    <w:link w:val="3"/>
    <w:autoRedefine/>
    <w:qFormat/>
    <w:uiPriority w:val="0"/>
    <w:rPr>
      <w:rFonts w:ascii="Arial" w:hAnsi="Arial" w:eastAsia="黑体" w:cs="Times New Roman"/>
      <w:b/>
      <w:bCs/>
      <w:sz w:val="32"/>
      <w:szCs w:val="32"/>
    </w:rPr>
  </w:style>
  <w:style w:type="paragraph" w:customStyle="1" w:styleId="22">
    <w:name w:val="正文图标题"/>
    <w:next w:val="20"/>
    <w:autoRedefine/>
    <w:qFormat/>
    <w:uiPriority w:val="0"/>
    <w:pPr>
      <w:numPr>
        <w:ilvl w:val="0"/>
        <w:numId w:val="1"/>
      </w:numPr>
      <w:spacing w:beforeLines="50" w:afterLines="50"/>
      <w:jc w:val="center"/>
    </w:pPr>
    <w:rPr>
      <w:rFonts w:ascii="黑体" w:hAnsi="Times New Roman" w:eastAsia="黑体" w:cs="Times New Roman"/>
      <w:sz w:val="21"/>
      <w:lang w:val="en-US" w:eastAsia="zh-CN" w:bidi="ar-SA"/>
    </w:rPr>
  </w:style>
  <w:style w:type="character" w:customStyle="1" w:styleId="23">
    <w:name w:val="样式 首行缩进:  0.74 厘米 Char"/>
    <w:link w:val="24"/>
    <w:autoRedefine/>
    <w:qFormat/>
    <w:uiPriority w:val="0"/>
    <w:rPr>
      <w:rFonts w:eastAsia="宋体"/>
    </w:rPr>
  </w:style>
  <w:style w:type="paragraph" w:customStyle="1" w:styleId="24">
    <w:name w:val="样式 首行缩进:  0.74 厘米"/>
    <w:basedOn w:val="1"/>
    <w:link w:val="23"/>
    <w:autoRedefine/>
    <w:qFormat/>
    <w:uiPriority w:val="0"/>
    <w:pPr>
      <w:spacing w:line="360" w:lineRule="auto"/>
      <w:ind w:firstLine="420"/>
    </w:pPr>
    <w:rPr>
      <w:rFonts w:eastAsia="宋体"/>
    </w:rPr>
  </w:style>
  <w:style w:type="character" w:customStyle="1" w:styleId="25">
    <w:name w:val="标题 1 Char"/>
    <w:basedOn w:val="12"/>
    <w:link w:val="2"/>
    <w:autoRedefine/>
    <w:qFormat/>
    <w:uiPriority w:val="9"/>
    <w:rPr>
      <w:b/>
      <w:bCs/>
      <w:kern w:val="44"/>
      <w:sz w:val="44"/>
      <w:szCs w:val="44"/>
    </w:rPr>
  </w:style>
  <w:style w:type="character" w:customStyle="1" w:styleId="26">
    <w:name w:val="批注框文本 Char"/>
    <w:basedOn w:val="12"/>
    <w:link w:val="6"/>
    <w:autoRedefine/>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724B8-36B4-4EEF-B28A-672316C0CE11}">
  <ds:schemaRefs/>
</ds:datastoreItem>
</file>

<file path=docProps/app.xml><?xml version="1.0" encoding="utf-8"?>
<Properties xmlns="http://schemas.openxmlformats.org/officeDocument/2006/extended-properties" xmlns:vt="http://schemas.openxmlformats.org/officeDocument/2006/docPropsVTypes">
  <Template>Normal</Template>
  <Pages>6</Pages>
  <Words>3305</Words>
  <Characters>3507</Characters>
  <Lines>25</Lines>
  <Paragraphs>7</Paragraphs>
  <TotalTime>11</TotalTime>
  <ScaleCrop>false</ScaleCrop>
  <LinksUpToDate>false</LinksUpToDate>
  <CharactersWithSpaces>3565</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2020-10-10T12:49:00Z</dcterms:created>
  <dc:creator>Administrator</dc:creator>
  <cp:lastModifiedBy>李佩璇</cp:lastModifiedBy>
  <dcterms:modified xsi:type="dcterms:W3CDTF">2024-05-16T05:53:19Z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78888470BB41458FBFC8188B9FC84877_13</vt:lpwstr>
  </property>
</Properties>
</file>